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3"/>
          <w:sz w:val="31"/>
          <w:szCs w:val="31"/>
        </w:rPr>
        <w:t>件 1</w:t>
      </w:r>
    </w:p>
    <w:p>
      <w:pPr>
        <w:spacing w:line="244" w:lineRule="auto"/>
      </w:pPr>
    </w:p>
    <w:p>
      <w:pPr>
        <w:spacing w:line="245" w:lineRule="auto"/>
      </w:pPr>
    </w:p>
    <w:p>
      <w:pPr>
        <w:spacing w:before="172" w:line="182" w:lineRule="auto"/>
        <w:ind w:left="2367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7"/>
          <w:sz w:val="40"/>
          <w:szCs w:val="40"/>
        </w:rPr>
        <w:t>2</w:t>
      </w:r>
      <w:r>
        <w:rPr>
          <w:rFonts w:ascii="微软雅黑" w:hAnsi="微软雅黑" w:eastAsia="微软雅黑" w:cs="微软雅黑"/>
          <w:spacing w:val="-12"/>
          <w:sz w:val="40"/>
          <w:szCs w:val="40"/>
        </w:rPr>
        <w:t>023 年度河北省教育厅</w:t>
      </w:r>
    </w:p>
    <w:p>
      <w:pPr>
        <w:spacing w:before="37" w:line="184" w:lineRule="auto"/>
        <w:ind w:left="417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人文社</w:t>
      </w:r>
      <w:r>
        <w:rPr>
          <w:rFonts w:ascii="微软雅黑" w:hAnsi="微软雅黑" w:eastAsia="微软雅黑" w:cs="微软雅黑"/>
          <w:sz w:val="40"/>
          <w:szCs w:val="40"/>
        </w:rPr>
        <w:t>会科学研究重大课题攻关项目选题指南</w:t>
      </w:r>
    </w:p>
    <w:p>
      <w:pPr>
        <w:spacing w:line="267" w:lineRule="auto"/>
      </w:pPr>
    </w:p>
    <w:p>
      <w:pPr>
        <w:spacing w:line="268" w:lineRule="auto"/>
      </w:pP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1.贯彻落实党的二十大会议精神有关专题研究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2.习近平在河北的从政实践与执政理念研究                 3.董子文化“两创”研究                                  4.农民思想政治教育赋能我省乡村振兴的价值研究           5.燕赵文化美学思想与美丽河北建设研究                    6.京津冀地区文物与文化数字化艺术传播研究               7.河北省高校学科文化的重建与教育高质量发展研究         8.河北“双一流”高校建设的策略与路径研究               9.河北加快高质量教育体系建设研究                        10.我省师范生从教动机的现状调查及影响因素研究          11.医学叙事的思想政治教育功能及其实现路径研究          12.体教融合背景下京津冀冰雪运动人才协同培养模式研究   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13.河北省职业本科教育高标准建设的机理及实现路径研究   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14.积极老龄化视域下老年教育支持服务体系构建的国际经验与 中国路径研究                                            15.京津冀产学研深度融合的演化机制及实现路径研究        16.数字化转型赋能河北省教育高质量发展策略与实施路径研究 </w:t>
      </w:r>
    </w:p>
    <w:p>
      <w:pPr>
        <w:spacing w:before="101" w:line="413" w:lineRule="exact"/>
        <w:ind w:left="24"/>
        <w:rPr>
          <w:rFonts w:hint="eastAsia"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hint="eastAsia" w:ascii="仿宋" w:hAnsi="仿宋" w:eastAsia="仿宋" w:cs="仿宋"/>
          <w:spacing w:val="8"/>
          <w:position w:val="2"/>
          <w:sz w:val="31"/>
          <w:szCs w:val="31"/>
        </w:rPr>
        <w:t xml:space="preserve">17.教育振兴乡村与振兴乡村教育的动力机制及实践路径研究  </w:t>
      </w:r>
    </w:p>
    <w:p>
      <w:pPr>
        <w:spacing w:before="101" w:line="413" w:lineRule="exact"/>
        <w:ind w:left="24"/>
        <w:rPr>
          <w:rFonts w:hint="eastAsia"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hint="eastAsia" w:ascii="仿宋" w:hAnsi="仿宋" w:eastAsia="仿宋" w:cs="仿宋"/>
          <w:spacing w:val="8"/>
          <w:position w:val="2"/>
          <w:sz w:val="31"/>
          <w:szCs w:val="31"/>
        </w:rPr>
        <w:t>18.积极心理学视域下增进大学生心理健康的方法和途径研究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19.加快推进河北高校科技创新驱动产业发展的对策研究      20.加快提升我省高校基础研究能力的对策与路径研究        21.共同富裕背景下河北省城乡融合发展机制、效果评估与提升 策略研究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22.河北省地方税收高质量征管改革研究                     23.京津冀绿色金融对能源效率的影响机制研究              24.线上销售农产品质量安全问题研究                       25.共同富裕目标下乡村产业振兴的困境、测度与提升路径研究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26.京津冀协同诊疗下医保支付机制研究                     27.不同空间尺度下高铁开通的碳排放影响效应研究          28.资本市场支持企业技术创新的理论、机制与路径研究      29.双碳战略驱动河北省传统产业重塑优势的机制与政策研究 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30.“四医联动”视角下河北省医疗服务价格动态调整机制研究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31.雄安新区创新链与产业链协同培育关键问题与路径研究   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32.“双碳”目标下河北省农业低碳发展与引导策略研究      33.京津冀协同发展框架下城市系统脆性诊断与韧性提升的双向 治理策略研究                                            34.“双碳”目标下河北省资源经济高质量发展的财政政策研究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35.乡村振兴战略下河北省数字乡村发展路径和策略研究      36.“双碳”目</w:t>
      </w:r>
      <w:bookmarkStart w:id="0" w:name="_GoBack"/>
      <w:bookmarkEnd w:id="0"/>
      <w:r>
        <w:rPr>
          <w:rFonts w:ascii="仿宋" w:hAnsi="仿宋" w:eastAsia="仿宋" w:cs="仿宋"/>
          <w:spacing w:val="8"/>
          <w:position w:val="2"/>
          <w:sz w:val="31"/>
          <w:szCs w:val="31"/>
        </w:rPr>
        <w:t xml:space="preserve">标下农村电商物流与农业现代化协同发展研究  </w:t>
      </w:r>
    </w:p>
    <w:p>
      <w:pPr>
        <w:spacing w:before="101" w:line="413" w:lineRule="exact"/>
        <w:ind w:left="24"/>
        <w:rPr>
          <w:rFonts w:ascii="仿宋" w:hAnsi="仿宋" w:eastAsia="仿宋" w:cs="仿宋"/>
          <w:spacing w:val="8"/>
          <w:position w:val="2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37.共同富裕目标下京津冀金融协同发展及治理路径研究      38.河北省林业碳汇生态产品价值实现机制与路径研究        39.区域协同发展的法治保障研究                           40.碳中和政策国别对比及其对河北路径启示研究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167"/>
      </w:tabs>
      <w:spacing w:line="181" w:lineRule="auto"/>
      <w:ind w:left="78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trike/>
        <w:color w:val="231F20"/>
        <w:sz w:val="28"/>
        <w:szCs w:val="28"/>
      </w:rPr>
      <w:tab/>
    </w:r>
    <w:r>
      <w:rPr>
        <w:rFonts w:ascii="宋体" w:hAnsi="宋体" w:eastAsia="宋体" w:cs="宋体"/>
        <w:color w:val="231F20"/>
        <w:spacing w:val="-16"/>
        <w:sz w:val="28"/>
        <w:szCs w:val="28"/>
      </w:rPr>
      <w:t>5</w:t>
    </w:r>
    <w:r>
      <w:rPr>
        <w:rFonts w:ascii="宋体" w:hAnsi="宋体" w:eastAsia="宋体" w:cs="宋体"/>
        <w:strike/>
        <w:color w:val="231F20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DhlYmM2MTM1NzIzYTVlYmVjZGI4YWJkYzFmN2MifQ=="/>
  </w:docVars>
  <w:rsids>
    <w:rsidRoot w:val="00000000"/>
    <w:rsid w:val="32403D21"/>
    <w:rsid w:val="588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1019</Characters>
  <Lines>0</Lines>
  <Paragraphs>0</Paragraphs>
  <TotalTime>6</TotalTime>
  <ScaleCrop>false</ScaleCrop>
  <LinksUpToDate>false</LinksUpToDate>
  <CharactersWithSpaces>1469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2022-10-28T07:12:00Z</dcterms:created>
  <dc:creator>lenovo</dc:creator>
  <cp:lastModifiedBy>小皮皮</cp:lastModifiedBy>
  <dcterms:modified xsi:type="dcterms:W3CDTF">2022-10-28T07:22:26Z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55A6D55DBED747729062DBE4A5279E83</vt:lpwstr>
  </property>
</Properties>
</file>