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0"/>
          <w:szCs w:val="30"/>
        </w:rPr>
      </w:pPr>
      <w:bookmarkStart w:id="1" w:name="_GoBack"/>
      <w:bookmarkEnd w:id="1"/>
      <w:r>
        <w:rPr>
          <w:rFonts w:hint="eastAsia" w:ascii="仿宋_GB2312" w:eastAsia="仿宋_GB2312"/>
          <w:sz w:val="30"/>
          <w:szCs w:val="30"/>
        </w:rPr>
        <w:t>附件</w:t>
      </w:r>
      <w:r>
        <w:rPr>
          <w:rFonts w:ascii="仿宋_GB2312" w:eastAsia="仿宋_GB2312"/>
          <w:sz w:val="30"/>
          <w:szCs w:val="30"/>
        </w:rPr>
        <w:t>3</w:t>
      </w:r>
      <w:r>
        <w:rPr>
          <w:rFonts w:hint="eastAsia" w:ascii="仿宋_GB2312" w:eastAsia="仿宋_GB2312"/>
          <w:sz w:val="30"/>
          <w:szCs w:val="30"/>
        </w:rPr>
        <w:t>：</w:t>
      </w:r>
    </w:p>
    <w:p>
      <w:pPr>
        <w:jc w:val="center"/>
        <w:rPr>
          <w:rFonts w:hint="eastAsia" w:ascii="黑体" w:hAnsi="黑体" w:eastAsia="黑体"/>
          <w:sz w:val="32"/>
          <w:szCs w:val="32"/>
        </w:rPr>
      </w:pPr>
      <w:r>
        <w:rPr>
          <w:rFonts w:hint="eastAsia" w:ascii="黑体" w:hAnsi="黑体" w:eastAsia="黑体"/>
          <w:sz w:val="32"/>
          <w:szCs w:val="32"/>
        </w:rPr>
        <w:t>201</w:t>
      </w:r>
      <w:r>
        <w:rPr>
          <w:rFonts w:hint="eastAsia" w:ascii="黑体" w:hAnsi="黑体" w:eastAsia="黑体"/>
          <w:sz w:val="32"/>
          <w:szCs w:val="32"/>
          <w:lang w:val="en-US" w:eastAsia="zh-CN"/>
        </w:rPr>
        <w:t>8</w:t>
      </w:r>
      <w:r>
        <w:rPr>
          <w:rFonts w:hint="eastAsia" w:ascii="黑体" w:hAnsi="黑体" w:eastAsia="黑体"/>
          <w:sz w:val="32"/>
          <w:szCs w:val="32"/>
        </w:rPr>
        <w:t>—20</w:t>
      </w:r>
      <w:r>
        <w:rPr>
          <w:rFonts w:ascii="黑体" w:hAnsi="黑体" w:eastAsia="黑体"/>
          <w:sz w:val="32"/>
          <w:szCs w:val="32"/>
        </w:rPr>
        <w:t>2</w:t>
      </w:r>
      <w:r>
        <w:rPr>
          <w:rFonts w:hint="eastAsia" w:ascii="黑体" w:hAnsi="黑体" w:eastAsia="黑体"/>
          <w:sz w:val="32"/>
          <w:szCs w:val="32"/>
          <w:lang w:val="en-US" w:eastAsia="zh-CN"/>
        </w:rPr>
        <w:t>2</w:t>
      </w:r>
      <w:r>
        <w:rPr>
          <w:rFonts w:hint="eastAsia" w:ascii="黑体" w:hAnsi="黑体" w:eastAsia="黑体"/>
          <w:sz w:val="32"/>
          <w:szCs w:val="32"/>
        </w:rPr>
        <w:t>年国家社会科学基金教育学重大</w:t>
      </w:r>
      <w:r>
        <w:rPr>
          <w:rFonts w:ascii="黑体" w:hAnsi="黑体" w:eastAsia="黑体"/>
          <w:sz w:val="32"/>
          <w:szCs w:val="32"/>
        </w:rPr>
        <w:t>、</w:t>
      </w:r>
      <w:r>
        <w:rPr>
          <w:rFonts w:hint="eastAsia" w:ascii="黑体" w:hAnsi="黑体" w:eastAsia="黑体"/>
          <w:sz w:val="32"/>
          <w:szCs w:val="32"/>
        </w:rPr>
        <w:t>重点课题及</w:t>
      </w:r>
    </w:p>
    <w:p>
      <w:pPr>
        <w:jc w:val="center"/>
        <w:rPr>
          <w:rFonts w:hint="eastAsia" w:ascii="黑体" w:hAnsi="黑体" w:eastAsia="黑体"/>
          <w:sz w:val="32"/>
          <w:szCs w:val="32"/>
        </w:rPr>
      </w:pPr>
      <w:r>
        <w:rPr>
          <w:rFonts w:hint="eastAsia" w:ascii="黑体" w:hAnsi="黑体" w:eastAsia="黑体"/>
          <w:sz w:val="32"/>
          <w:szCs w:val="32"/>
        </w:rPr>
        <w:t>教育部哲学社会科学研究教育学重大攻关课题</w:t>
      </w:r>
    </w:p>
    <w:p>
      <w:pPr>
        <w:jc w:val="center"/>
        <w:outlineLvl w:val="0"/>
        <w:rPr>
          <w:rFonts w:hint="eastAsia" w:ascii="仿宋_GB2312" w:eastAsia="仿宋_GB2312"/>
          <w:b/>
          <w:sz w:val="32"/>
          <w:szCs w:val="32"/>
        </w:rPr>
      </w:pPr>
    </w:p>
    <w:tbl>
      <w:tblPr>
        <w:tblStyle w:val="6"/>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0"/>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20" w:type="dxa"/>
            <w:noWrap w:val="0"/>
            <w:vAlign w:val="center"/>
          </w:tcPr>
          <w:p>
            <w:pPr>
              <w:jc w:val="center"/>
              <w:rPr>
                <w:rFonts w:hint="eastAsia"/>
                <w:b/>
                <w:sz w:val="28"/>
                <w:szCs w:val="28"/>
              </w:rPr>
            </w:pPr>
            <w:r>
              <w:rPr>
                <w:rFonts w:hint="eastAsia"/>
                <w:b/>
                <w:sz w:val="28"/>
                <w:szCs w:val="28"/>
              </w:rPr>
              <w:t>年</w:t>
            </w:r>
          </w:p>
        </w:tc>
        <w:tc>
          <w:tcPr>
            <w:tcW w:w="7920" w:type="dxa"/>
            <w:noWrap w:val="0"/>
            <w:vAlign w:val="center"/>
          </w:tcPr>
          <w:p>
            <w:pPr>
              <w:jc w:val="center"/>
              <w:rPr>
                <w:rFonts w:hint="eastAsia"/>
                <w:b/>
                <w:sz w:val="28"/>
                <w:szCs w:val="28"/>
              </w:rPr>
            </w:pPr>
            <w:r>
              <w:rPr>
                <w:rFonts w:hint="eastAsia"/>
                <w:b/>
                <w:sz w:val="28"/>
                <w:szCs w:val="28"/>
              </w:rPr>
              <w:t>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540" w:type="dxa"/>
            <w:gridSpan w:val="2"/>
            <w:noWrap w:val="0"/>
            <w:vAlign w:val="center"/>
          </w:tcPr>
          <w:p>
            <w:pPr>
              <w:jc w:val="center"/>
              <w:rPr>
                <w:rFonts w:hint="eastAsia" w:ascii="楷体_GB2312" w:eastAsia="楷体_GB2312"/>
                <w:sz w:val="28"/>
                <w:szCs w:val="28"/>
              </w:rPr>
            </w:pPr>
            <w:r>
              <w:rPr>
                <w:rFonts w:hint="eastAsia" w:ascii="楷体_GB2312" w:eastAsia="楷体_GB2312"/>
                <w:sz w:val="28"/>
                <w:szCs w:val="28"/>
              </w:rPr>
              <w:t>国家社科基金教育学重大</w:t>
            </w:r>
            <w:r>
              <w:rPr>
                <w:rFonts w:ascii="楷体_GB2312" w:eastAsia="楷体_GB2312"/>
                <w:sz w:val="28"/>
                <w:szCs w:val="28"/>
              </w:rPr>
              <w:t>、</w:t>
            </w:r>
            <w:r>
              <w:rPr>
                <w:rFonts w:hint="eastAsia" w:ascii="楷体_GB2312" w:eastAsia="楷体_GB2312"/>
                <w:sz w:val="28"/>
                <w:szCs w:val="28"/>
              </w:rPr>
              <w:t>重点课题</w:t>
            </w:r>
          </w:p>
          <w:p>
            <w:pPr>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rFonts w:hint="eastAsia" w:eastAsia="宋体"/>
                <w:sz w:val="24"/>
                <w:lang w:eastAsia="zh-CN"/>
              </w:rPr>
            </w:pPr>
            <w:r>
              <w:rPr>
                <w:rFonts w:hint="eastAsia"/>
                <w:sz w:val="24"/>
                <w:lang w:eastAsia="zh-CN"/>
              </w:rPr>
              <w:t>2022</w:t>
            </w:r>
          </w:p>
        </w:tc>
        <w:tc>
          <w:tcPr>
            <w:tcW w:w="7920" w:type="dxa"/>
            <w:noWrap w:val="0"/>
            <w:vAlign w:val="center"/>
          </w:tcPr>
          <w:p>
            <w:pPr>
              <w:keepNext w:val="0"/>
              <w:keepLines w:val="0"/>
              <w:widowControl/>
              <w:suppressLineNumbers w:val="0"/>
              <w:jc w:val="left"/>
              <w:textAlignment w:val="center"/>
              <w:rPr>
                <w:sz w:val="24"/>
              </w:rPr>
            </w:pPr>
            <w:r>
              <w:rPr>
                <w:rFonts w:hint="eastAsia" w:ascii="宋体" w:hAnsi="宋体" w:eastAsia="宋体" w:cs="宋体"/>
                <w:i w:val="0"/>
                <w:iCs w:val="0"/>
                <w:color w:val="000000"/>
                <w:kern w:val="0"/>
                <w:sz w:val="24"/>
                <w:szCs w:val="24"/>
                <w:u w:val="none"/>
                <w:lang w:val="en-US" w:eastAsia="zh-CN" w:bidi="ar"/>
              </w:rPr>
              <w:t>十八大以来社会主义核心价值观教育的主要经验与深化机制研究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rFonts w:hint="eastAsia" w:eastAsia="宋体"/>
                <w:lang w:eastAsia="zh-CN"/>
              </w:rPr>
            </w:pPr>
            <w:r>
              <w:rPr>
                <w:rFonts w:hint="eastAsia"/>
                <w:sz w:val="24"/>
                <w:lang w:eastAsia="zh-CN"/>
              </w:rPr>
              <w:t>2022</w:t>
            </w:r>
          </w:p>
        </w:tc>
        <w:tc>
          <w:tcPr>
            <w:tcW w:w="7920" w:type="dxa"/>
            <w:noWrap w:val="0"/>
            <w:vAlign w:val="center"/>
          </w:tcPr>
          <w:p>
            <w:pPr>
              <w:keepNext w:val="0"/>
              <w:keepLines w:val="0"/>
              <w:widowControl/>
              <w:suppressLineNumbers w:val="0"/>
              <w:jc w:val="left"/>
              <w:textAlignment w:val="center"/>
              <w:rPr>
                <w:rFonts w:hint="eastAsia"/>
                <w:sz w:val="24"/>
              </w:rPr>
            </w:pPr>
            <w:r>
              <w:rPr>
                <w:rFonts w:hint="eastAsia" w:ascii="宋体" w:hAnsi="宋体" w:eastAsia="宋体" w:cs="宋体"/>
                <w:i w:val="0"/>
                <w:iCs w:val="0"/>
                <w:color w:val="000000"/>
                <w:kern w:val="0"/>
                <w:sz w:val="24"/>
                <w:szCs w:val="24"/>
                <w:u w:val="none"/>
                <w:lang w:val="en-US" w:eastAsia="zh-CN" w:bidi="ar"/>
              </w:rPr>
              <w:t>新时代教育公平的国家战略、推进策略与社会支持研究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rFonts w:hint="eastAsia" w:eastAsia="宋体"/>
                <w:lang w:eastAsia="zh-CN"/>
              </w:rPr>
            </w:pPr>
            <w:r>
              <w:rPr>
                <w:rFonts w:hint="eastAsia"/>
                <w:sz w:val="24"/>
                <w:lang w:eastAsia="zh-CN"/>
              </w:rPr>
              <w:t>2022</w:t>
            </w:r>
          </w:p>
        </w:tc>
        <w:tc>
          <w:tcPr>
            <w:tcW w:w="7920" w:type="dxa"/>
            <w:noWrap w:val="0"/>
            <w:vAlign w:val="center"/>
          </w:tcPr>
          <w:p>
            <w:pPr>
              <w:keepNext w:val="0"/>
              <w:keepLines w:val="0"/>
              <w:widowControl/>
              <w:suppressLineNumbers w:val="0"/>
              <w:jc w:val="left"/>
              <w:textAlignment w:val="center"/>
              <w:rPr>
                <w:rFonts w:hint="eastAsia"/>
                <w:sz w:val="24"/>
              </w:rPr>
            </w:pPr>
            <w:r>
              <w:rPr>
                <w:rFonts w:hint="eastAsia" w:ascii="宋体" w:hAnsi="宋体" w:eastAsia="宋体" w:cs="宋体"/>
                <w:i w:val="0"/>
                <w:iCs w:val="0"/>
                <w:color w:val="000000"/>
                <w:kern w:val="0"/>
                <w:sz w:val="24"/>
                <w:szCs w:val="24"/>
                <w:u w:val="none"/>
                <w:lang w:val="en-US" w:eastAsia="zh-CN" w:bidi="ar"/>
              </w:rPr>
              <w:t>新发展阶段教育促进共同富裕研究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rFonts w:hint="eastAsia" w:eastAsia="宋体"/>
                <w:lang w:eastAsia="zh-CN"/>
              </w:rPr>
            </w:pPr>
            <w:r>
              <w:rPr>
                <w:rFonts w:hint="eastAsia"/>
                <w:sz w:val="24"/>
                <w:lang w:eastAsia="zh-CN"/>
              </w:rPr>
              <w:t>2022</w:t>
            </w:r>
          </w:p>
        </w:tc>
        <w:tc>
          <w:tcPr>
            <w:tcW w:w="7920" w:type="dxa"/>
            <w:noWrap w:val="0"/>
            <w:vAlign w:val="center"/>
          </w:tcPr>
          <w:p>
            <w:pPr>
              <w:keepNext w:val="0"/>
              <w:keepLines w:val="0"/>
              <w:widowControl/>
              <w:suppressLineNumbers w:val="0"/>
              <w:jc w:val="left"/>
              <w:textAlignment w:val="center"/>
              <w:rPr>
                <w:rFonts w:hint="eastAsia"/>
                <w:sz w:val="24"/>
              </w:rPr>
            </w:pPr>
            <w:r>
              <w:rPr>
                <w:rFonts w:hint="eastAsia" w:ascii="宋体" w:hAnsi="宋体" w:eastAsia="宋体" w:cs="宋体"/>
                <w:i w:val="0"/>
                <w:iCs w:val="0"/>
                <w:color w:val="000000"/>
                <w:kern w:val="0"/>
                <w:sz w:val="24"/>
                <w:szCs w:val="24"/>
                <w:u w:val="none"/>
                <w:lang w:val="en-US" w:eastAsia="zh-CN" w:bidi="ar"/>
              </w:rPr>
              <w:t>高校战略科技力量建设研究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rFonts w:hint="eastAsia" w:eastAsia="宋体"/>
                <w:lang w:eastAsia="zh-CN"/>
              </w:rPr>
            </w:pPr>
            <w:r>
              <w:rPr>
                <w:rFonts w:hint="eastAsia"/>
                <w:sz w:val="24"/>
                <w:lang w:eastAsia="zh-CN"/>
              </w:rPr>
              <w:t>2022</w:t>
            </w:r>
          </w:p>
        </w:tc>
        <w:tc>
          <w:tcPr>
            <w:tcW w:w="7920" w:type="dxa"/>
            <w:noWrap w:val="0"/>
            <w:vAlign w:val="center"/>
          </w:tcPr>
          <w:p>
            <w:pPr>
              <w:keepNext w:val="0"/>
              <w:keepLines w:val="0"/>
              <w:widowControl/>
              <w:suppressLineNumbers w:val="0"/>
              <w:jc w:val="left"/>
              <w:textAlignment w:val="center"/>
              <w:rPr>
                <w:rFonts w:hint="eastAsia"/>
                <w:sz w:val="24"/>
              </w:rPr>
            </w:pPr>
            <w:r>
              <w:rPr>
                <w:rFonts w:hint="eastAsia" w:ascii="宋体" w:hAnsi="宋体" w:eastAsia="宋体" w:cs="宋体"/>
                <w:i w:val="0"/>
                <w:iCs w:val="0"/>
                <w:color w:val="000000"/>
                <w:kern w:val="0"/>
                <w:sz w:val="24"/>
                <w:szCs w:val="24"/>
                <w:u w:val="none"/>
                <w:lang w:val="en-US" w:eastAsia="zh-CN" w:bidi="ar"/>
              </w:rPr>
              <w:t>“双减”背景下基础教育生态系统重构机制研究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rFonts w:hint="eastAsia" w:eastAsia="宋体"/>
                <w:lang w:eastAsia="zh-CN"/>
              </w:rPr>
            </w:pPr>
            <w:r>
              <w:rPr>
                <w:rFonts w:hint="eastAsia"/>
                <w:sz w:val="24"/>
                <w:lang w:eastAsia="zh-CN"/>
              </w:rPr>
              <w:t>2022</w:t>
            </w:r>
          </w:p>
        </w:tc>
        <w:tc>
          <w:tcPr>
            <w:tcW w:w="7920" w:type="dxa"/>
            <w:noWrap w:val="0"/>
            <w:vAlign w:val="center"/>
          </w:tcPr>
          <w:p>
            <w:pPr>
              <w:keepNext w:val="0"/>
              <w:keepLines w:val="0"/>
              <w:widowControl/>
              <w:suppressLineNumbers w:val="0"/>
              <w:jc w:val="left"/>
              <w:textAlignment w:val="center"/>
              <w:rPr>
                <w:rFonts w:hint="eastAsia"/>
                <w:sz w:val="24"/>
              </w:rPr>
            </w:pPr>
            <w:r>
              <w:rPr>
                <w:rFonts w:hint="eastAsia" w:ascii="宋体" w:hAnsi="宋体" w:eastAsia="宋体" w:cs="宋体"/>
                <w:i w:val="0"/>
                <w:iCs w:val="0"/>
                <w:color w:val="000000"/>
                <w:kern w:val="0"/>
                <w:sz w:val="24"/>
                <w:szCs w:val="24"/>
                <w:u w:val="none"/>
                <w:lang w:val="en-US" w:eastAsia="zh-CN" w:bidi="ar"/>
              </w:rPr>
              <w:t>中国技能型社会建设测度模型、驱动因素及路径优化研究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rFonts w:hint="eastAsia" w:eastAsia="宋体"/>
                <w:lang w:eastAsia="zh-CN"/>
              </w:rPr>
            </w:pPr>
            <w:r>
              <w:rPr>
                <w:rFonts w:hint="eastAsia"/>
                <w:sz w:val="24"/>
                <w:lang w:eastAsia="zh-CN"/>
              </w:rPr>
              <w:t>2022</w:t>
            </w:r>
          </w:p>
        </w:tc>
        <w:tc>
          <w:tcPr>
            <w:tcW w:w="7920" w:type="dxa"/>
            <w:noWrap w:val="0"/>
            <w:vAlign w:val="center"/>
          </w:tcPr>
          <w:p>
            <w:pPr>
              <w:keepNext w:val="0"/>
              <w:keepLines w:val="0"/>
              <w:widowControl/>
              <w:suppressLineNumbers w:val="0"/>
              <w:jc w:val="left"/>
              <w:textAlignment w:val="center"/>
              <w:rPr>
                <w:rFonts w:hint="eastAsia"/>
                <w:sz w:val="24"/>
              </w:rPr>
            </w:pPr>
            <w:r>
              <w:rPr>
                <w:rFonts w:hint="eastAsia" w:ascii="宋体" w:hAnsi="宋体" w:eastAsia="宋体" w:cs="宋体"/>
                <w:i w:val="0"/>
                <w:iCs w:val="0"/>
                <w:color w:val="000000"/>
                <w:kern w:val="0"/>
                <w:sz w:val="24"/>
                <w:szCs w:val="24"/>
                <w:u w:val="none"/>
                <w:lang w:val="en-US" w:eastAsia="zh-CN" w:bidi="ar"/>
              </w:rPr>
              <w:t>新时代高质量教师教育体系建设及师资供需配给研究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rFonts w:hint="eastAsia" w:eastAsia="宋体"/>
                <w:lang w:eastAsia="zh-CN"/>
              </w:rPr>
            </w:pPr>
            <w:r>
              <w:rPr>
                <w:rFonts w:hint="eastAsia"/>
                <w:sz w:val="24"/>
                <w:lang w:eastAsia="zh-CN"/>
              </w:rPr>
              <w:t>2022</w:t>
            </w:r>
          </w:p>
        </w:tc>
        <w:tc>
          <w:tcPr>
            <w:tcW w:w="7920" w:type="dxa"/>
            <w:noWrap w:val="0"/>
            <w:vAlign w:val="center"/>
          </w:tcPr>
          <w:p>
            <w:pPr>
              <w:keepNext w:val="0"/>
              <w:keepLines w:val="0"/>
              <w:widowControl/>
              <w:suppressLineNumbers w:val="0"/>
              <w:jc w:val="left"/>
              <w:textAlignment w:val="center"/>
              <w:rPr>
                <w:rFonts w:hint="eastAsia"/>
                <w:sz w:val="24"/>
              </w:rPr>
            </w:pPr>
            <w:r>
              <w:rPr>
                <w:rFonts w:hint="eastAsia" w:ascii="宋体" w:hAnsi="宋体" w:eastAsia="宋体" w:cs="宋体"/>
                <w:i w:val="0"/>
                <w:iCs w:val="0"/>
                <w:color w:val="000000"/>
                <w:kern w:val="0"/>
                <w:sz w:val="24"/>
                <w:szCs w:val="24"/>
                <w:u w:val="none"/>
                <w:lang w:val="en-US" w:eastAsia="zh-CN" w:bidi="ar"/>
              </w:rPr>
              <w:t>教育事权划分与支出责任研究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rFonts w:hint="eastAsia" w:eastAsia="宋体"/>
                <w:lang w:eastAsia="zh-CN"/>
              </w:rPr>
            </w:pPr>
            <w:r>
              <w:rPr>
                <w:rFonts w:hint="eastAsia"/>
                <w:sz w:val="24"/>
                <w:lang w:eastAsia="zh-CN"/>
              </w:rPr>
              <w:t>2022</w:t>
            </w:r>
          </w:p>
        </w:tc>
        <w:tc>
          <w:tcPr>
            <w:tcW w:w="7920" w:type="dxa"/>
            <w:noWrap w:val="0"/>
            <w:vAlign w:val="center"/>
          </w:tcPr>
          <w:p>
            <w:pPr>
              <w:keepNext w:val="0"/>
              <w:keepLines w:val="0"/>
              <w:widowControl/>
              <w:suppressLineNumbers w:val="0"/>
              <w:jc w:val="left"/>
              <w:textAlignment w:val="center"/>
              <w:rPr>
                <w:rFonts w:hint="eastAsia"/>
                <w:sz w:val="24"/>
              </w:rPr>
            </w:pPr>
            <w:r>
              <w:rPr>
                <w:rFonts w:hint="eastAsia" w:ascii="宋体" w:hAnsi="宋体" w:eastAsia="宋体" w:cs="宋体"/>
                <w:i w:val="0"/>
                <w:iCs w:val="0"/>
                <w:color w:val="000000"/>
                <w:kern w:val="0"/>
                <w:sz w:val="24"/>
                <w:szCs w:val="24"/>
                <w:u w:val="none"/>
                <w:lang w:val="en-US" w:eastAsia="zh-CN" w:bidi="ar"/>
              </w:rPr>
              <w:t>新时代老年教育服务体系建设研究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rFonts w:hint="eastAsia" w:eastAsia="宋体"/>
                <w:lang w:eastAsia="zh-CN"/>
              </w:rPr>
            </w:pPr>
            <w:r>
              <w:rPr>
                <w:rFonts w:hint="eastAsia"/>
                <w:sz w:val="24"/>
                <w:lang w:eastAsia="zh-CN"/>
              </w:rPr>
              <w:t>2022</w:t>
            </w:r>
          </w:p>
        </w:tc>
        <w:tc>
          <w:tcPr>
            <w:tcW w:w="7920" w:type="dxa"/>
            <w:noWrap w:val="0"/>
            <w:vAlign w:val="center"/>
          </w:tcPr>
          <w:p>
            <w:pPr>
              <w:keepNext w:val="0"/>
              <w:keepLines w:val="0"/>
              <w:widowControl/>
              <w:suppressLineNumbers w:val="0"/>
              <w:jc w:val="left"/>
              <w:textAlignment w:val="center"/>
              <w:rPr>
                <w:rFonts w:hint="eastAsia"/>
                <w:sz w:val="24"/>
              </w:rPr>
            </w:pPr>
            <w:r>
              <w:rPr>
                <w:rFonts w:hint="eastAsia" w:ascii="宋体" w:hAnsi="宋体" w:eastAsia="宋体" w:cs="宋体"/>
                <w:i w:val="0"/>
                <w:iCs w:val="0"/>
                <w:color w:val="000000"/>
                <w:kern w:val="0"/>
                <w:sz w:val="24"/>
                <w:szCs w:val="24"/>
                <w:u w:val="none"/>
                <w:lang w:val="en-US" w:eastAsia="zh-CN" w:bidi="ar"/>
              </w:rPr>
              <w:t>中国特色社会主义教育学话语体系研究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rFonts w:hint="eastAsia" w:eastAsia="宋体"/>
                <w:lang w:eastAsia="zh-CN"/>
              </w:rPr>
            </w:pPr>
            <w:r>
              <w:rPr>
                <w:rFonts w:hint="eastAsia"/>
                <w:sz w:val="24"/>
                <w:lang w:eastAsia="zh-CN"/>
              </w:rPr>
              <w:t>2022</w:t>
            </w:r>
          </w:p>
        </w:tc>
        <w:tc>
          <w:tcPr>
            <w:tcW w:w="7920" w:type="dxa"/>
            <w:noWrap w:val="0"/>
            <w:vAlign w:val="center"/>
          </w:tcPr>
          <w:p>
            <w:pPr>
              <w:keepNext w:val="0"/>
              <w:keepLines w:val="0"/>
              <w:widowControl/>
              <w:suppressLineNumbers w:val="0"/>
              <w:jc w:val="left"/>
              <w:textAlignment w:val="center"/>
              <w:rPr>
                <w:rFonts w:hint="eastAsia"/>
                <w:sz w:val="24"/>
              </w:rPr>
            </w:pPr>
            <w:r>
              <w:rPr>
                <w:rFonts w:hint="eastAsia" w:ascii="宋体" w:hAnsi="宋体" w:eastAsia="宋体" w:cs="宋体"/>
                <w:i w:val="0"/>
                <w:iCs w:val="0"/>
                <w:color w:val="000000"/>
                <w:kern w:val="0"/>
                <w:sz w:val="24"/>
                <w:szCs w:val="24"/>
                <w:u w:val="none"/>
                <w:lang w:val="en-US" w:eastAsia="zh-CN" w:bidi="ar"/>
              </w:rPr>
              <w:t>“双一流”大学全球战略研究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rFonts w:hint="eastAsia" w:eastAsia="宋体"/>
                <w:lang w:eastAsia="zh-CN"/>
              </w:rPr>
            </w:pPr>
            <w:r>
              <w:rPr>
                <w:rFonts w:hint="eastAsia"/>
                <w:sz w:val="24"/>
                <w:lang w:eastAsia="zh-CN"/>
              </w:rPr>
              <w:t>2022</w:t>
            </w:r>
          </w:p>
        </w:tc>
        <w:tc>
          <w:tcPr>
            <w:tcW w:w="7920" w:type="dxa"/>
            <w:noWrap w:val="0"/>
            <w:vAlign w:val="center"/>
          </w:tcPr>
          <w:p>
            <w:pPr>
              <w:keepNext w:val="0"/>
              <w:keepLines w:val="0"/>
              <w:widowControl/>
              <w:suppressLineNumbers w:val="0"/>
              <w:jc w:val="left"/>
              <w:textAlignment w:val="center"/>
              <w:rPr>
                <w:rFonts w:hint="eastAsia"/>
                <w:sz w:val="24"/>
              </w:rPr>
            </w:pPr>
            <w:r>
              <w:rPr>
                <w:rFonts w:hint="eastAsia" w:ascii="宋体" w:hAnsi="宋体" w:eastAsia="宋体" w:cs="宋体"/>
                <w:i w:val="0"/>
                <w:iCs w:val="0"/>
                <w:color w:val="000000"/>
                <w:kern w:val="0"/>
                <w:sz w:val="24"/>
                <w:szCs w:val="24"/>
                <w:u w:val="none"/>
                <w:lang w:val="en-US" w:eastAsia="zh-CN" w:bidi="ar"/>
              </w:rPr>
              <w:t>“双一流”大学建设世界重要人才中心的机制研究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rFonts w:hint="eastAsia" w:eastAsia="宋体"/>
                <w:lang w:eastAsia="zh-CN"/>
              </w:rPr>
            </w:pPr>
            <w:r>
              <w:rPr>
                <w:rFonts w:hint="eastAsia"/>
                <w:sz w:val="24"/>
                <w:lang w:eastAsia="zh-CN"/>
              </w:rPr>
              <w:t>2022</w:t>
            </w:r>
          </w:p>
        </w:tc>
        <w:tc>
          <w:tcPr>
            <w:tcW w:w="7920" w:type="dxa"/>
            <w:noWrap w:val="0"/>
            <w:vAlign w:val="center"/>
          </w:tcPr>
          <w:p>
            <w:pPr>
              <w:keepNext w:val="0"/>
              <w:keepLines w:val="0"/>
              <w:widowControl/>
              <w:suppressLineNumbers w:val="0"/>
              <w:jc w:val="left"/>
              <w:textAlignment w:val="center"/>
              <w:rPr>
                <w:rFonts w:hint="eastAsia"/>
                <w:sz w:val="24"/>
              </w:rPr>
            </w:pPr>
            <w:r>
              <w:rPr>
                <w:rFonts w:hint="eastAsia" w:ascii="宋体" w:hAnsi="宋体" w:eastAsia="宋体" w:cs="宋体"/>
                <w:i w:val="0"/>
                <w:iCs w:val="0"/>
                <w:color w:val="000000"/>
                <w:kern w:val="0"/>
                <w:sz w:val="24"/>
                <w:szCs w:val="24"/>
                <w:u w:val="none"/>
                <w:lang w:val="en-US" w:eastAsia="zh-CN" w:bidi="ar"/>
              </w:rPr>
              <w:t>新时代卓越工程师教育培养研究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rFonts w:hint="eastAsia" w:eastAsia="宋体"/>
                <w:lang w:eastAsia="zh-CN"/>
              </w:rPr>
            </w:pPr>
            <w:r>
              <w:rPr>
                <w:rFonts w:hint="eastAsia"/>
                <w:sz w:val="24"/>
                <w:lang w:eastAsia="zh-CN"/>
              </w:rPr>
              <w:t>2022</w:t>
            </w:r>
          </w:p>
        </w:tc>
        <w:tc>
          <w:tcPr>
            <w:tcW w:w="7920" w:type="dxa"/>
            <w:noWrap w:val="0"/>
            <w:vAlign w:val="center"/>
          </w:tcPr>
          <w:p>
            <w:pPr>
              <w:keepNext w:val="0"/>
              <w:keepLines w:val="0"/>
              <w:widowControl/>
              <w:suppressLineNumbers w:val="0"/>
              <w:jc w:val="left"/>
              <w:textAlignment w:val="center"/>
              <w:rPr>
                <w:rFonts w:hint="eastAsia"/>
                <w:sz w:val="24"/>
              </w:rPr>
            </w:pPr>
            <w:r>
              <w:rPr>
                <w:rFonts w:hint="eastAsia" w:ascii="宋体" w:hAnsi="宋体" w:eastAsia="宋体" w:cs="宋体"/>
                <w:i w:val="0"/>
                <w:iCs w:val="0"/>
                <w:color w:val="000000"/>
                <w:kern w:val="0"/>
                <w:sz w:val="24"/>
                <w:szCs w:val="24"/>
                <w:u w:val="none"/>
                <w:lang w:val="en-US" w:eastAsia="zh-CN" w:bidi="ar"/>
              </w:rPr>
              <w:t>我国专业学位研究生教育产教融合体系优化研究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rFonts w:hint="eastAsia" w:eastAsia="宋体"/>
                <w:lang w:eastAsia="zh-CN"/>
              </w:rPr>
            </w:pPr>
            <w:r>
              <w:rPr>
                <w:rFonts w:hint="eastAsia"/>
                <w:sz w:val="24"/>
                <w:lang w:eastAsia="zh-CN"/>
              </w:rPr>
              <w:t>2022</w:t>
            </w:r>
          </w:p>
        </w:tc>
        <w:tc>
          <w:tcPr>
            <w:tcW w:w="7920" w:type="dxa"/>
            <w:noWrap w:val="0"/>
            <w:vAlign w:val="center"/>
          </w:tcPr>
          <w:p>
            <w:pPr>
              <w:keepNext w:val="0"/>
              <w:keepLines w:val="0"/>
              <w:widowControl/>
              <w:suppressLineNumbers w:val="0"/>
              <w:jc w:val="left"/>
              <w:textAlignment w:val="center"/>
              <w:rPr>
                <w:rFonts w:hint="eastAsia"/>
                <w:sz w:val="24"/>
              </w:rPr>
            </w:pPr>
            <w:r>
              <w:rPr>
                <w:rFonts w:hint="eastAsia" w:ascii="宋体" w:hAnsi="宋体" w:eastAsia="宋体" w:cs="宋体"/>
                <w:i w:val="0"/>
                <w:iCs w:val="0"/>
                <w:color w:val="000000"/>
                <w:kern w:val="0"/>
                <w:sz w:val="24"/>
                <w:szCs w:val="24"/>
                <w:u w:val="none"/>
                <w:lang w:val="en-US" w:eastAsia="zh-CN" w:bidi="ar"/>
              </w:rPr>
              <w:t>城市群空间演进与区域高等教育布局重构研究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rFonts w:hint="eastAsia" w:eastAsia="宋体"/>
                <w:lang w:eastAsia="zh-CN"/>
              </w:rPr>
            </w:pPr>
            <w:r>
              <w:rPr>
                <w:rFonts w:hint="eastAsia"/>
                <w:sz w:val="24"/>
                <w:lang w:eastAsia="zh-CN"/>
              </w:rPr>
              <w:t>2022</w:t>
            </w:r>
          </w:p>
        </w:tc>
        <w:tc>
          <w:tcPr>
            <w:tcW w:w="7920" w:type="dxa"/>
            <w:noWrap w:val="0"/>
            <w:vAlign w:val="center"/>
          </w:tcPr>
          <w:p>
            <w:pPr>
              <w:keepNext w:val="0"/>
              <w:keepLines w:val="0"/>
              <w:widowControl/>
              <w:suppressLineNumbers w:val="0"/>
              <w:jc w:val="left"/>
              <w:textAlignment w:val="center"/>
              <w:rPr>
                <w:rFonts w:hint="eastAsia"/>
                <w:sz w:val="24"/>
              </w:rPr>
            </w:pPr>
            <w:r>
              <w:rPr>
                <w:rFonts w:hint="eastAsia" w:ascii="宋体" w:hAnsi="宋体" w:eastAsia="宋体" w:cs="宋体"/>
                <w:i w:val="0"/>
                <w:iCs w:val="0"/>
                <w:color w:val="000000"/>
                <w:kern w:val="0"/>
                <w:sz w:val="24"/>
                <w:szCs w:val="24"/>
                <w:u w:val="none"/>
                <w:lang w:val="en-US" w:eastAsia="zh-CN" w:bidi="ar"/>
              </w:rPr>
              <w:t>普及化阶段高校分类评价指标体系构建研究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rFonts w:hint="eastAsia" w:eastAsia="宋体"/>
                <w:lang w:eastAsia="zh-CN"/>
              </w:rPr>
            </w:pPr>
            <w:r>
              <w:rPr>
                <w:rFonts w:hint="eastAsia"/>
                <w:sz w:val="24"/>
                <w:lang w:eastAsia="zh-CN"/>
              </w:rPr>
              <w:t>2022</w:t>
            </w:r>
          </w:p>
        </w:tc>
        <w:tc>
          <w:tcPr>
            <w:tcW w:w="7920" w:type="dxa"/>
            <w:noWrap w:val="0"/>
            <w:vAlign w:val="center"/>
          </w:tcPr>
          <w:p>
            <w:pPr>
              <w:keepNext w:val="0"/>
              <w:keepLines w:val="0"/>
              <w:widowControl/>
              <w:suppressLineNumbers w:val="0"/>
              <w:jc w:val="left"/>
              <w:textAlignment w:val="center"/>
              <w:rPr>
                <w:rFonts w:hint="eastAsia"/>
                <w:sz w:val="24"/>
              </w:rPr>
            </w:pPr>
            <w:r>
              <w:rPr>
                <w:rFonts w:hint="eastAsia" w:ascii="宋体" w:hAnsi="宋体" w:eastAsia="宋体" w:cs="宋体"/>
                <w:i w:val="0"/>
                <w:iCs w:val="0"/>
                <w:color w:val="000000"/>
                <w:kern w:val="0"/>
                <w:sz w:val="24"/>
                <w:szCs w:val="24"/>
                <w:u w:val="none"/>
                <w:lang w:val="en-US" w:eastAsia="zh-CN" w:bidi="ar"/>
              </w:rPr>
              <w:t>高等教育普及化阶段毕业生就业政策研究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rFonts w:hint="eastAsia" w:eastAsia="宋体"/>
                <w:lang w:eastAsia="zh-CN"/>
              </w:rPr>
            </w:pPr>
            <w:r>
              <w:rPr>
                <w:rFonts w:hint="eastAsia"/>
                <w:sz w:val="24"/>
                <w:lang w:eastAsia="zh-CN"/>
              </w:rPr>
              <w:t>2022</w:t>
            </w:r>
          </w:p>
        </w:tc>
        <w:tc>
          <w:tcPr>
            <w:tcW w:w="7920" w:type="dxa"/>
            <w:noWrap w:val="0"/>
            <w:vAlign w:val="center"/>
          </w:tcPr>
          <w:p>
            <w:pPr>
              <w:keepNext w:val="0"/>
              <w:keepLines w:val="0"/>
              <w:widowControl/>
              <w:suppressLineNumbers w:val="0"/>
              <w:jc w:val="left"/>
              <w:textAlignment w:val="center"/>
              <w:rPr>
                <w:rFonts w:hint="eastAsia"/>
                <w:sz w:val="24"/>
              </w:rPr>
            </w:pPr>
            <w:r>
              <w:rPr>
                <w:rFonts w:hint="eastAsia" w:ascii="宋体" w:hAnsi="宋体" w:eastAsia="宋体" w:cs="宋体"/>
                <w:i w:val="0"/>
                <w:iCs w:val="0"/>
                <w:color w:val="000000"/>
                <w:kern w:val="0"/>
                <w:sz w:val="24"/>
                <w:szCs w:val="24"/>
                <w:u w:val="none"/>
                <w:lang w:val="en-US" w:eastAsia="zh-CN" w:bidi="ar"/>
              </w:rPr>
              <w:t>“冷门绝学”基础学科的人才培养体系研究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rFonts w:hint="eastAsia" w:eastAsia="宋体"/>
                <w:lang w:eastAsia="zh-CN"/>
              </w:rPr>
            </w:pPr>
            <w:r>
              <w:rPr>
                <w:rFonts w:hint="eastAsia"/>
                <w:sz w:val="24"/>
                <w:lang w:eastAsia="zh-CN"/>
              </w:rPr>
              <w:t>2022</w:t>
            </w:r>
          </w:p>
        </w:tc>
        <w:tc>
          <w:tcPr>
            <w:tcW w:w="7920" w:type="dxa"/>
            <w:noWrap w:val="0"/>
            <w:vAlign w:val="center"/>
          </w:tcPr>
          <w:p>
            <w:pPr>
              <w:keepNext w:val="0"/>
              <w:keepLines w:val="0"/>
              <w:widowControl/>
              <w:suppressLineNumbers w:val="0"/>
              <w:jc w:val="left"/>
              <w:textAlignment w:val="center"/>
              <w:rPr>
                <w:rFonts w:hint="eastAsia"/>
                <w:sz w:val="24"/>
              </w:rPr>
            </w:pPr>
            <w:r>
              <w:rPr>
                <w:rFonts w:hint="eastAsia" w:ascii="宋体" w:hAnsi="宋体" w:eastAsia="宋体" w:cs="宋体"/>
                <w:i w:val="0"/>
                <w:iCs w:val="0"/>
                <w:color w:val="000000"/>
                <w:kern w:val="0"/>
                <w:sz w:val="24"/>
                <w:szCs w:val="24"/>
                <w:u w:val="none"/>
                <w:lang w:val="en-US" w:eastAsia="zh-CN" w:bidi="ar"/>
              </w:rPr>
              <w:t>省域优质均衡发展的基本公共教育服务体系构建研究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rFonts w:hint="eastAsia" w:eastAsia="宋体"/>
                <w:sz w:val="24"/>
                <w:lang w:eastAsia="zh-CN"/>
              </w:rPr>
            </w:pPr>
            <w:r>
              <w:rPr>
                <w:rFonts w:hint="eastAsia"/>
                <w:sz w:val="24"/>
                <w:lang w:eastAsia="zh-CN"/>
              </w:rPr>
              <w:t>2022</w:t>
            </w:r>
          </w:p>
        </w:tc>
        <w:tc>
          <w:tcPr>
            <w:tcW w:w="7920" w:type="dxa"/>
            <w:noWrap w:val="0"/>
            <w:vAlign w:val="center"/>
          </w:tcPr>
          <w:p>
            <w:pPr>
              <w:keepNext w:val="0"/>
              <w:keepLines w:val="0"/>
              <w:widowControl/>
              <w:suppressLineNumbers w:val="0"/>
              <w:jc w:val="left"/>
              <w:textAlignment w:val="center"/>
              <w:rPr>
                <w:sz w:val="24"/>
              </w:rPr>
            </w:pPr>
            <w:r>
              <w:rPr>
                <w:rFonts w:hint="eastAsia" w:ascii="宋体" w:hAnsi="宋体" w:eastAsia="宋体" w:cs="宋体"/>
                <w:i w:val="0"/>
                <w:iCs w:val="0"/>
                <w:color w:val="000000"/>
                <w:kern w:val="0"/>
                <w:sz w:val="24"/>
                <w:szCs w:val="24"/>
                <w:u w:val="none"/>
                <w:lang w:val="en-US" w:eastAsia="zh-CN" w:bidi="ar"/>
              </w:rPr>
              <w:t>“双减”政策落实的过程监测和成效评价研究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rFonts w:hint="eastAsia" w:eastAsia="宋体"/>
                <w:lang w:eastAsia="zh-CN"/>
              </w:rPr>
            </w:pPr>
            <w:r>
              <w:rPr>
                <w:rFonts w:hint="eastAsia"/>
                <w:sz w:val="24"/>
                <w:lang w:eastAsia="zh-CN"/>
              </w:rPr>
              <w:t>2022</w:t>
            </w:r>
          </w:p>
        </w:tc>
        <w:tc>
          <w:tcPr>
            <w:tcW w:w="7920" w:type="dxa"/>
            <w:noWrap w:val="0"/>
            <w:vAlign w:val="center"/>
          </w:tcPr>
          <w:p>
            <w:pPr>
              <w:keepNext w:val="0"/>
              <w:keepLines w:val="0"/>
              <w:widowControl/>
              <w:suppressLineNumbers w:val="0"/>
              <w:jc w:val="left"/>
              <w:textAlignment w:val="center"/>
              <w:rPr>
                <w:rFonts w:hint="eastAsia"/>
                <w:sz w:val="24"/>
              </w:rPr>
            </w:pPr>
            <w:r>
              <w:rPr>
                <w:rFonts w:hint="eastAsia" w:ascii="宋体" w:hAnsi="宋体" w:eastAsia="宋体" w:cs="宋体"/>
                <w:i w:val="0"/>
                <w:iCs w:val="0"/>
                <w:color w:val="000000"/>
                <w:kern w:val="0"/>
                <w:sz w:val="24"/>
                <w:szCs w:val="24"/>
                <w:u w:val="none"/>
                <w:lang w:val="en-US" w:eastAsia="zh-CN" w:bidi="ar"/>
              </w:rPr>
              <w:t>中小学地方课程教材定位与功能研究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rFonts w:hint="eastAsia" w:eastAsia="宋体"/>
                <w:lang w:eastAsia="zh-CN"/>
              </w:rPr>
            </w:pPr>
            <w:r>
              <w:rPr>
                <w:rFonts w:hint="eastAsia"/>
                <w:sz w:val="24"/>
                <w:lang w:eastAsia="zh-CN"/>
              </w:rPr>
              <w:t>2022</w:t>
            </w:r>
          </w:p>
        </w:tc>
        <w:tc>
          <w:tcPr>
            <w:tcW w:w="7920" w:type="dxa"/>
            <w:noWrap w:val="0"/>
            <w:vAlign w:val="center"/>
          </w:tcPr>
          <w:p>
            <w:pPr>
              <w:keepNext w:val="0"/>
              <w:keepLines w:val="0"/>
              <w:widowControl/>
              <w:suppressLineNumbers w:val="0"/>
              <w:jc w:val="left"/>
              <w:textAlignment w:val="center"/>
              <w:rPr>
                <w:rFonts w:hint="eastAsia"/>
                <w:sz w:val="24"/>
              </w:rPr>
            </w:pPr>
            <w:r>
              <w:rPr>
                <w:rFonts w:hint="eastAsia" w:ascii="宋体" w:hAnsi="宋体" w:eastAsia="宋体" w:cs="宋体"/>
                <w:i w:val="0"/>
                <w:iCs w:val="0"/>
                <w:color w:val="000000"/>
                <w:kern w:val="0"/>
                <w:sz w:val="24"/>
                <w:szCs w:val="24"/>
                <w:u w:val="none"/>
                <w:lang w:val="en-US" w:eastAsia="zh-CN" w:bidi="ar"/>
              </w:rPr>
              <w:t>职业本科教育的推进路径及实施策略研究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rFonts w:hint="eastAsia" w:eastAsia="宋体"/>
                <w:lang w:eastAsia="zh-CN"/>
              </w:rPr>
            </w:pPr>
            <w:r>
              <w:rPr>
                <w:rFonts w:hint="eastAsia"/>
                <w:sz w:val="24"/>
                <w:lang w:eastAsia="zh-CN"/>
              </w:rPr>
              <w:t>2022</w:t>
            </w:r>
          </w:p>
        </w:tc>
        <w:tc>
          <w:tcPr>
            <w:tcW w:w="7920" w:type="dxa"/>
            <w:noWrap w:val="0"/>
            <w:vAlign w:val="center"/>
          </w:tcPr>
          <w:p>
            <w:pPr>
              <w:keepNext w:val="0"/>
              <w:keepLines w:val="0"/>
              <w:widowControl/>
              <w:suppressLineNumbers w:val="0"/>
              <w:jc w:val="left"/>
              <w:textAlignment w:val="center"/>
              <w:rPr>
                <w:rFonts w:hint="eastAsia"/>
                <w:sz w:val="24"/>
              </w:rPr>
            </w:pPr>
            <w:r>
              <w:rPr>
                <w:rFonts w:hint="eastAsia" w:ascii="宋体" w:hAnsi="宋体" w:eastAsia="宋体" w:cs="宋体"/>
                <w:i w:val="0"/>
                <w:iCs w:val="0"/>
                <w:color w:val="000000"/>
                <w:kern w:val="0"/>
                <w:sz w:val="24"/>
                <w:szCs w:val="24"/>
                <w:u w:val="none"/>
                <w:lang w:val="en-US" w:eastAsia="zh-CN" w:bidi="ar"/>
              </w:rPr>
              <w:t>国际比较视野下职业教育社会认同的提升策略研究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rFonts w:hint="eastAsia" w:eastAsia="宋体"/>
                <w:lang w:eastAsia="zh-CN"/>
              </w:rPr>
            </w:pPr>
            <w:r>
              <w:rPr>
                <w:rFonts w:hint="eastAsia"/>
                <w:sz w:val="24"/>
                <w:lang w:eastAsia="zh-CN"/>
              </w:rPr>
              <w:t>2022</w:t>
            </w:r>
          </w:p>
        </w:tc>
        <w:tc>
          <w:tcPr>
            <w:tcW w:w="7920" w:type="dxa"/>
            <w:noWrap w:val="0"/>
            <w:vAlign w:val="center"/>
          </w:tcPr>
          <w:p>
            <w:pPr>
              <w:keepNext w:val="0"/>
              <w:keepLines w:val="0"/>
              <w:widowControl/>
              <w:suppressLineNumbers w:val="0"/>
              <w:jc w:val="left"/>
              <w:textAlignment w:val="center"/>
              <w:rPr>
                <w:rFonts w:hint="eastAsia"/>
                <w:sz w:val="24"/>
              </w:rPr>
            </w:pPr>
            <w:r>
              <w:rPr>
                <w:rFonts w:hint="eastAsia" w:ascii="宋体" w:hAnsi="宋体" w:eastAsia="宋体" w:cs="宋体"/>
                <w:i w:val="0"/>
                <w:iCs w:val="0"/>
                <w:color w:val="000000"/>
                <w:kern w:val="0"/>
                <w:sz w:val="24"/>
                <w:szCs w:val="24"/>
                <w:u w:val="none"/>
                <w:lang w:val="en-US" w:eastAsia="zh-CN" w:bidi="ar"/>
              </w:rPr>
              <w:t>民办教育分类管理视域下的举办者行为规制研究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rFonts w:hint="eastAsia" w:eastAsia="宋体"/>
                <w:lang w:eastAsia="zh-CN"/>
              </w:rPr>
            </w:pPr>
            <w:r>
              <w:rPr>
                <w:rFonts w:hint="eastAsia"/>
                <w:sz w:val="24"/>
                <w:lang w:eastAsia="zh-CN"/>
              </w:rPr>
              <w:t>2022</w:t>
            </w:r>
          </w:p>
        </w:tc>
        <w:tc>
          <w:tcPr>
            <w:tcW w:w="7920" w:type="dxa"/>
            <w:noWrap w:val="0"/>
            <w:vAlign w:val="center"/>
          </w:tcPr>
          <w:p>
            <w:pPr>
              <w:keepNext w:val="0"/>
              <w:keepLines w:val="0"/>
              <w:widowControl/>
              <w:suppressLineNumbers w:val="0"/>
              <w:jc w:val="left"/>
              <w:textAlignment w:val="center"/>
              <w:rPr>
                <w:rFonts w:hint="eastAsia"/>
                <w:sz w:val="24"/>
              </w:rPr>
            </w:pPr>
            <w:r>
              <w:rPr>
                <w:rFonts w:hint="eastAsia" w:ascii="宋体" w:hAnsi="宋体" w:eastAsia="宋体" w:cs="宋体"/>
                <w:i w:val="0"/>
                <w:iCs w:val="0"/>
                <w:color w:val="000000"/>
                <w:kern w:val="0"/>
                <w:sz w:val="24"/>
                <w:szCs w:val="24"/>
                <w:u w:val="none"/>
                <w:lang w:val="en-US" w:eastAsia="zh-CN" w:bidi="ar"/>
              </w:rPr>
              <w:t>教育经费投入的可持续性及合理分配研究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rFonts w:hint="eastAsia" w:eastAsia="宋体"/>
                <w:lang w:eastAsia="zh-CN"/>
              </w:rPr>
            </w:pPr>
            <w:r>
              <w:rPr>
                <w:rFonts w:hint="eastAsia"/>
                <w:sz w:val="24"/>
                <w:lang w:eastAsia="zh-CN"/>
              </w:rPr>
              <w:t>2022</w:t>
            </w:r>
          </w:p>
        </w:tc>
        <w:tc>
          <w:tcPr>
            <w:tcW w:w="7920" w:type="dxa"/>
            <w:noWrap w:val="0"/>
            <w:vAlign w:val="center"/>
          </w:tcPr>
          <w:p>
            <w:pPr>
              <w:keepNext w:val="0"/>
              <w:keepLines w:val="0"/>
              <w:widowControl/>
              <w:suppressLineNumbers w:val="0"/>
              <w:jc w:val="left"/>
              <w:textAlignment w:val="center"/>
              <w:rPr>
                <w:rFonts w:hint="eastAsia"/>
                <w:sz w:val="24"/>
              </w:rPr>
            </w:pPr>
            <w:r>
              <w:rPr>
                <w:rFonts w:hint="eastAsia" w:ascii="宋体" w:hAnsi="宋体" w:eastAsia="宋体" w:cs="宋体"/>
                <w:i w:val="0"/>
                <w:iCs w:val="0"/>
                <w:color w:val="000000"/>
                <w:kern w:val="0"/>
                <w:sz w:val="24"/>
                <w:szCs w:val="24"/>
                <w:u w:val="none"/>
                <w:lang w:val="en-US" w:eastAsia="zh-CN" w:bidi="ar"/>
              </w:rPr>
              <w:t>智能技术赋能教育评价改革研究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rFonts w:hint="eastAsia" w:eastAsia="宋体"/>
                <w:lang w:eastAsia="zh-CN"/>
              </w:rPr>
            </w:pPr>
            <w:r>
              <w:rPr>
                <w:rFonts w:hint="eastAsia"/>
                <w:sz w:val="24"/>
                <w:lang w:eastAsia="zh-CN"/>
              </w:rPr>
              <w:t>2022</w:t>
            </w:r>
          </w:p>
        </w:tc>
        <w:tc>
          <w:tcPr>
            <w:tcW w:w="7920" w:type="dxa"/>
            <w:noWrap w:val="0"/>
            <w:vAlign w:val="center"/>
          </w:tcPr>
          <w:p>
            <w:pPr>
              <w:keepNext w:val="0"/>
              <w:keepLines w:val="0"/>
              <w:widowControl/>
              <w:suppressLineNumbers w:val="0"/>
              <w:jc w:val="left"/>
              <w:textAlignment w:val="center"/>
              <w:rPr>
                <w:rFonts w:hint="eastAsia"/>
                <w:sz w:val="24"/>
              </w:rPr>
            </w:pPr>
            <w:r>
              <w:rPr>
                <w:rFonts w:hint="eastAsia" w:ascii="宋体" w:hAnsi="宋体" w:eastAsia="宋体" w:cs="宋体"/>
                <w:i w:val="0"/>
                <w:iCs w:val="0"/>
                <w:color w:val="000000"/>
                <w:kern w:val="0"/>
                <w:sz w:val="24"/>
                <w:szCs w:val="24"/>
                <w:u w:val="none"/>
                <w:lang w:val="en-US" w:eastAsia="zh-CN" w:bidi="ar"/>
              </w:rPr>
              <w:t>人工智能教育场景应用的伦理与限度研究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rFonts w:hint="eastAsia" w:eastAsia="宋体"/>
                <w:sz w:val="24"/>
                <w:lang w:eastAsia="zh-CN"/>
              </w:rPr>
            </w:pPr>
            <w:r>
              <w:rPr>
                <w:rFonts w:hint="eastAsia"/>
                <w:sz w:val="24"/>
                <w:lang w:eastAsia="zh-CN"/>
              </w:rPr>
              <w:t>2022</w:t>
            </w:r>
          </w:p>
        </w:tc>
        <w:tc>
          <w:tcPr>
            <w:tcW w:w="7920" w:type="dxa"/>
            <w:noWrap w:val="0"/>
            <w:vAlign w:val="center"/>
          </w:tcPr>
          <w:p>
            <w:pPr>
              <w:keepNext w:val="0"/>
              <w:keepLines w:val="0"/>
              <w:widowControl/>
              <w:suppressLineNumbers w:val="0"/>
              <w:jc w:val="left"/>
              <w:textAlignment w:val="center"/>
              <w:rPr>
                <w:sz w:val="24"/>
              </w:rPr>
            </w:pPr>
            <w:r>
              <w:rPr>
                <w:rFonts w:hint="eastAsia" w:ascii="宋体" w:hAnsi="宋体" w:eastAsia="宋体" w:cs="宋体"/>
                <w:i w:val="0"/>
                <w:iCs w:val="0"/>
                <w:color w:val="000000"/>
                <w:kern w:val="0"/>
                <w:sz w:val="24"/>
                <w:szCs w:val="24"/>
                <w:u w:val="none"/>
                <w:lang w:val="en-US" w:eastAsia="zh-CN" w:bidi="ar"/>
              </w:rPr>
              <w:t>我国青少年社会与情感能力培养研究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rFonts w:hint="eastAsia" w:eastAsia="宋体"/>
                <w:lang w:eastAsia="zh-CN"/>
              </w:rPr>
            </w:pPr>
            <w:r>
              <w:rPr>
                <w:rFonts w:hint="eastAsia"/>
                <w:sz w:val="24"/>
                <w:lang w:eastAsia="zh-CN"/>
              </w:rPr>
              <w:t>2022</w:t>
            </w:r>
          </w:p>
        </w:tc>
        <w:tc>
          <w:tcPr>
            <w:tcW w:w="7920" w:type="dxa"/>
            <w:noWrap w:val="0"/>
            <w:vAlign w:val="center"/>
          </w:tcPr>
          <w:p>
            <w:pPr>
              <w:keepNext w:val="0"/>
              <w:keepLines w:val="0"/>
              <w:widowControl/>
              <w:suppressLineNumbers w:val="0"/>
              <w:jc w:val="left"/>
              <w:textAlignment w:val="center"/>
              <w:rPr>
                <w:rFonts w:hint="eastAsia"/>
                <w:sz w:val="24"/>
              </w:rPr>
            </w:pPr>
            <w:r>
              <w:rPr>
                <w:rFonts w:hint="eastAsia" w:ascii="宋体" w:hAnsi="宋体" w:eastAsia="宋体" w:cs="宋体"/>
                <w:i w:val="0"/>
                <w:iCs w:val="0"/>
                <w:color w:val="000000"/>
                <w:kern w:val="0"/>
                <w:sz w:val="24"/>
                <w:szCs w:val="24"/>
                <w:u w:val="none"/>
                <w:lang w:val="en-US" w:eastAsia="zh-CN" w:bidi="ar"/>
              </w:rPr>
              <w:t>校园足球实践与新型足球学校建设研究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rFonts w:hint="eastAsia"/>
                <w:sz w:val="24"/>
              </w:rPr>
            </w:pPr>
            <w:r>
              <w:rPr>
                <w:rFonts w:hint="eastAsia"/>
                <w:sz w:val="24"/>
              </w:rPr>
              <w:t>2021</w:t>
            </w:r>
          </w:p>
        </w:tc>
        <w:tc>
          <w:tcPr>
            <w:tcW w:w="7920" w:type="dxa"/>
            <w:noWrap w:val="0"/>
            <w:vAlign w:val="center"/>
          </w:tcPr>
          <w:p>
            <w:pPr>
              <w:widowControl/>
              <w:jc w:val="left"/>
              <w:rPr>
                <w:sz w:val="24"/>
              </w:rPr>
            </w:pPr>
            <w:r>
              <w:rPr>
                <w:rFonts w:hint="eastAsia"/>
                <w:sz w:val="24"/>
              </w:rPr>
              <w:t>中国共产党百年教育方针研究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2021</w:t>
            </w:r>
          </w:p>
        </w:tc>
        <w:tc>
          <w:tcPr>
            <w:tcW w:w="7920" w:type="dxa"/>
            <w:noWrap w:val="0"/>
            <w:vAlign w:val="center"/>
          </w:tcPr>
          <w:p>
            <w:pPr>
              <w:rPr>
                <w:rFonts w:hint="eastAsia"/>
                <w:sz w:val="24"/>
              </w:rPr>
            </w:pPr>
            <w:r>
              <w:rPr>
                <w:rFonts w:hint="eastAsia"/>
                <w:sz w:val="24"/>
              </w:rPr>
              <w:t>深化新时代教育评价改革的实施路径研究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2021</w:t>
            </w:r>
          </w:p>
        </w:tc>
        <w:tc>
          <w:tcPr>
            <w:tcW w:w="7920" w:type="dxa"/>
            <w:noWrap w:val="0"/>
            <w:vAlign w:val="center"/>
          </w:tcPr>
          <w:p>
            <w:pPr>
              <w:rPr>
                <w:rFonts w:hint="eastAsia"/>
                <w:sz w:val="24"/>
              </w:rPr>
            </w:pPr>
            <w:r>
              <w:rPr>
                <w:rFonts w:hint="eastAsia"/>
                <w:sz w:val="24"/>
              </w:rPr>
              <w:t>中国特色现代教育学体系发展与创新研究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2021</w:t>
            </w:r>
          </w:p>
        </w:tc>
        <w:tc>
          <w:tcPr>
            <w:tcW w:w="7920" w:type="dxa"/>
            <w:noWrap w:val="0"/>
            <w:vAlign w:val="center"/>
          </w:tcPr>
          <w:p>
            <w:pPr>
              <w:rPr>
                <w:rFonts w:hint="eastAsia"/>
                <w:sz w:val="24"/>
              </w:rPr>
            </w:pPr>
            <w:r>
              <w:rPr>
                <w:rFonts w:hint="eastAsia"/>
                <w:sz w:val="24"/>
              </w:rPr>
              <w:t>学校家庭社会协同育人机制研究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2021</w:t>
            </w:r>
          </w:p>
        </w:tc>
        <w:tc>
          <w:tcPr>
            <w:tcW w:w="7920" w:type="dxa"/>
            <w:noWrap w:val="0"/>
            <w:vAlign w:val="center"/>
          </w:tcPr>
          <w:p>
            <w:pPr>
              <w:rPr>
                <w:rFonts w:hint="eastAsia"/>
                <w:sz w:val="24"/>
              </w:rPr>
            </w:pPr>
            <w:r>
              <w:rPr>
                <w:rFonts w:hint="eastAsia"/>
                <w:sz w:val="24"/>
              </w:rPr>
              <w:t>乡村振兴和教育现代化背景下农村教育发展战略研究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2021</w:t>
            </w:r>
          </w:p>
        </w:tc>
        <w:tc>
          <w:tcPr>
            <w:tcW w:w="7920" w:type="dxa"/>
            <w:noWrap w:val="0"/>
            <w:vAlign w:val="center"/>
          </w:tcPr>
          <w:p>
            <w:pPr>
              <w:rPr>
                <w:rFonts w:hint="eastAsia"/>
                <w:sz w:val="24"/>
              </w:rPr>
            </w:pPr>
            <w:r>
              <w:rPr>
                <w:rFonts w:hint="eastAsia"/>
                <w:sz w:val="24"/>
              </w:rPr>
              <w:t>未来学校组织形态与制度重构的理论与实践研究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2021</w:t>
            </w:r>
          </w:p>
        </w:tc>
        <w:tc>
          <w:tcPr>
            <w:tcW w:w="7920" w:type="dxa"/>
            <w:noWrap w:val="0"/>
            <w:vAlign w:val="center"/>
          </w:tcPr>
          <w:p>
            <w:pPr>
              <w:rPr>
                <w:rFonts w:hint="eastAsia"/>
                <w:sz w:val="24"/>
              </w:rPr>
            </w:pPr>
            <w:r>
              <w:rPr>
                <w:rFonts w:hint="eastAsia"/>
                <w:sz w:val="24"/>
              </w:rPr>
              <w:t>“三区三州”返贫防控教育措施实效的追踪研究（2021-2025年）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2021</w:t>
            </w:r>
          </w:p>
        </w:tc>
        <w:tc>
          <w:tcPr>
            <w:tcW w:w="7920" w:type="dxa"/>
            <w:noWrap w:val="0"/>
            <w:vAlign w:val="center"/>
          </w:tcPr>
          <w:p>
            <w:pPr>
              <w:rPr>
                <w:rFonts w:hint="eastAsia"/>
                <w:sz w:val="24"/>
              </w:rPr>
            </w:pPr>
            <w:r>
              <w:rPr>
                <w:rFonts w:hint="eastAsia"/>
                <w:sz w:val="24"/>
              </w:rPr>
              <w:t>中国台湾地区教育历史、现状与未来策略研究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2021</w:t>
            </w:r>
          </w:p>
        </w:tc>
        <w:tc>
          <w:tcPr>
            <w:tcW w:w="7920" w:type="dxa"/>
            <w:noWrap w:val="0"/>
            <w:vAlign w:val="center"/>
          </w:tcPr>
          <w:p>
            <w:pPr>
              <w:rPr>
                <w:rFonts w:hint="eastAsia"/>
                <w:sz w:val="24"/>
              </w:rPr>
            </w:pPr>
            <w:r>
              <w:rPr>
                <w:rFonts w:hint="eastAsia"/>
                <w:sz w:val="24"/>
              </w:rPr>
              <w:t>我国义务教育学业负担综合治理研究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2021</w:t>
            </w:r>
          </w:p>
        </w:tc>
        <w:tc>
          <w:tcPr>
            <w:tcW w:w="7920" w:type="dxa"/>
            <w:noWrap w:val="0"/>
            <w:vAlign w:val="center"/>
          </w:tcPr>
          <w:p>
            <w:pPr>
              <w:rPr>
                <w:rFonts w:hint="eastAsia"/>
                <w:sz w:val="24"/>
              </w:rPr>
            </w:pPr>
            <w:r>
              <w:rPr>
                <w:rFonts w:hint="eastAsia"/>
                <w:sz w:val="24"/>
              </w:rPr>
              <w:t>以教育新基建支撑高质量教育体系建设研究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2021</w:t>
            </w:r>
          </w:p>
        </w:tc>
        <w:tc>
          <w:tcPr>
            <w:tcW w:w="7920" w:type="dxa"/>
            <w:noWrap w:val="0"/>
            <w:vAlign w:val="center"/>
          </w:tcPr>
          <w:p>
            <w:pPr>
              <w:rPr>
                <w:rFonts w:hint="eastAsia"/>
                <w:sz w:val="24"/>
              </w:rPr>
            </w:pPr>
            <w:r>
              <w:rPr>
                <w:rFonts w:hint="eastAsia"/>
                <w:sz w:val="24"/>
              </w:rPr>
              <w:t>新发展阶段高等医学教育改革研究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2021</w:t>
            </w:r>
          </w:p>
        </w:tc>
        <w:tc>
          <w:tcPr>
            <w:tcW w:w="7920" w:type="dxa"/>
            <w:noWrap w:val="0"/>
            <w:vAlign w:val="center"/>
          </w:tcPr>
          <w:p>
            <w:pPr>
              <w:rPr>
                <w:rFonts w:hint="eastAsia"/>
                <w:sz w:val="24"/>
              </w:rPr>
            </w:pPr>
            <w:r>
              <w:rPr>
                <w:rFonts w:hint="eastAsia"/>
                <w:sz w:val="24"/>
              </w:rPr>
              <w:t>新时代研究生教育高质量发展研究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2021</w:t>
            </w:r>
          </w:p>
        </w:tc>
        <w:tc>
          <w:tcPr>
            <w:tcW w:w="7920" w:type="dxa"/>
            <w:noWrap w:val="0"/>
            <w:vAlign w:val="center"/>
          </w:tcPr>
          <w:p>
            <w:pPr>
              <w:rPr>
                <w:rFonts w:hint="eastAsia"/>
                <w:sz w:val="24"/>
              </w:rPr>
            </w:pPr>
            <w:r>
              <w:rPr>
                <w:rFonts w:hint="eastAsia"/>
                <w:sz w:val="24"/>
              </w:rPr>
              <w:t>自贸港（自贸区）建设背景下的教育对外开放研究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2021</w:t>
            </w:r>
          </w:p>
        </w:tc>
        <w:tc>
          <w:tcPr>
            <w:tcW w:w="7920" w:type="dxa"/>
            <w:noWrap w:val="0"/>
            <w:vAlign w:val="center"/>
          </w:tcPr>
          <w:p>
            <w:pPr>
              <w:rPr>
                <w:rFonts w:hint="eastAsia"/>
                <w:sz w:val="24"/>
              </w:rPr>
            </w:pPr>
            <w:r>
              <w:rPr>
                <w:rFonts w:hint="eastAsia"/>
                <w:sz w:val="24"/>
              </w:rPr>
              <w:t>新时代教育公平的重点问题与政策体系研究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2021</w:t>
            </w:r>
          </w:p>
        </w:tc>
        <w:tc>
          <w:tcPr>
            <w:tcW w:w="7920" w:type="dxa"/>
            <w:noWrap w:val="0"/>
            <w:vAlign w:val="center"/>
          </w:tcPr>
          <w:p>
            <w:pPr>
              <w:rPr>
                <w:rFonts w:hint="eastAsia"/>
                <w:sz w:val="24"/>
              </w:rPr>
            </w:pPr>
            <w:r>
              <w:rPr>
                <w:rFonts w:hint="eastAsia"/>
                <w:sz w:val="24"/>
              </w:rPr>
              <w:t>教材建设国家事权的基本理论及权责机制研究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2021</w:t>
            </w:r>
          </w:p>
        </w:tc>
        <w:tc>
          <w:tcPr>
            <w:tcW w:w="7920" w:type="dxa"/>
            <w:noWrap w:val="0"/>
            <w:vAlign w:val="center"/>
          </w:tcPr>
          <w:p>
            <w:pPr>
              <w:rPr>
                <w:rFonts w:hint="eastAsia"/>
                <w:sz w:val="24"/>
              </w:rPr>
            </w:pPr>
            <w:r>
              <w:rPr>
                <w:rFonts w:hint="eastAsia"/>
                <w:sz w:val="24"/>
              </w:rPr>
              <w:t>线上与线下教育融合难点与突破路径研究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2021</w:t>
            </w:r>
          </w:p>
        </w:tc>
        <w:tc>
          <w:tcPr>
            <w:tcW w:w="7920" w:type="dxa"/>
            <w:noWrap w:val="0"/>
            <w:vAlign w:val="center"/>
          </w:tcPr>
          <w:p>
            <w:pPr>
              <w:rPr>
                <w:rFonts w:hint="eastAsia"/>
                <w:sz w:val="24"/>
              </w:rPr>
            </w:pPr>
            <w:r>
              <w:rPr>
                <w:rFonts w:hint="eastAsia"/>
                <w:sz w:val="24"/>
              </w:rPr>
              <w:t>新一轮科技革命背景下教师素养及培养体系研究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2021</w:t>
            </w:r>
          </w:p>
        </w:tc>
        <w:tc>
          <w:tcPr>
            <w:tcW w:w="7920" w:type="dxa"/>
            <w:noWrap w:val="0"/>
            <w:vAlign w:val="center"/>
          </w:tcPr>
          <w:p>
            <w:pPr>
              <w:rPr>
                <w:rFonts w:hint="eastAsia"/>
                <w:sz w:val="24"/>
              </w:rPr>
            </w:pPr>
            <w:r>
              <w:rPr>
                <w:rFonts w:hint="eastAsia"/>
                <w:sz w:val="24"/>
              </w:rPr>
              <w:t>家校协同视域下青少年心理健康问题的预防及干预机制研究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2021</w:t>
            </w:r>
          </w:p>
        </w:tc>
        <w:tc>
          <w:tcPr>
            <w:tcW w:w="7920" w:type="dxa"/>
            <w:noWrap w:val="0"/>
            <w:vAlign w:val="center"/>
          </w:tcPr>
          <w:p>
            <w:pPr>
              <w:rPr>
                <w:rFonts w:hint="eastAsia"/>
                <w:sz w:val="24"/>
              </w:rPr>
            </w:pPr>
            <w:r>
              <w:rPr>
                <w:rFonts w:hint="eastAsia"/>
                <w:sz w:val="24"/>
              </w:rPr>
              <w:t>服务全民终身学习视域下社区教育体系研究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rFonts w:hint="eastAsia"/>
                <w:sz w:val="24"/>
              </w:rPr>
            </w:pPr>
            <w:r>
              <w:rPr>
                <w:rFonts w:hint="eastAsia"/>
                <w:sz w:val="24"/>
              </w:rPr>
              <w:t>2020</w:t>
            </w:r>
          </w:p>
        </w:tc>
        <w:tc>
          <w:tcPr>
            <w:tcW w:w="7920" w:type="dxa"/>
            <w:noWrap w:val="0"/>
            <w:vAlign w:val="center"/>
          </w:tcPr>
          <w:p>
            <w:pPr>
              <w:widowControl/>
              <w:jc w:val="left"/>
              <w:rPr>
                <w:sz w:val="24"/>
              </w:rPr>
            </w:pPr>
            <w:r>
              <w:rPr>
                <w:rFonts w:hint="eastAsia"/>
                <w:sz w:val="24"/>
              </w:rPr>
              <w:t>中国特色社会主义教育制度优势及转化为治理效能的实现路径研究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2020</w:t>
            </w:r>
          </w:p>
        </w:tc>
        <w:tc>
          <w:tcPr>
            <w:tcW w:w="7920" w:type="dxa"/>
            <w:noWrap w:val="0"/>
            <w:vAlign w:val="center"/>
          </w:tcPr>
          <w:p>
            <w:pPr>
              <w:rPr>
                <w:rFonts w:hint="eastAsia"/>
                <w:sz w:val="24"/>
              </w:rPr>
            </w:pPr>
            <w:r>
              <w:rPr>
                <w:rFonts w:hint="eastAsia"/>
                <w:sz w:val="24"/>
              </w:rPr>
              <w:t>新时代爱国主义教育长效机制研究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2020</w:t>
            </w:r>
          </w:p>
        </w:tc>
        <w:tc>
          <w:tcPr>
            <w:tcW w:w="7920" w:type="dxa"/>
            <w:noWrap w:val="0"/>
            <w:vAlign w:val="center"/>
          </w:tcPr>
          <w:p>
            <w:pPr>
              <w:rPr>
                <w:rFonts w:hint="eastAsia"/>
                <w:sz w:val="24"/>
              </w:rPr>
            </w:pPr>
            <w:r>
              <w:rPr>
                <w:rFonts w:hint="eastAsia"/>
                <w:sz w:val="24"/>
              </w:rPr>
              <w:t>职业教育类型特征及其与普通教育“双轨制”“双通制”体系构建研究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2020</w:t>
            </w:r>
          </w:p>
        </w:tc>
        <w:tc>
          <w:tcPr>
            <w:tcW w:w="7920" w:type="dxa"/>
            <w:noWrap w:val="0"/>
            <w:vAlign w:val="center"/>
          </w:tcPr>
          <w:p>
            <w:pPr>
              <w:rPr>
                <w:rFonts w:hint="eastAsia"/>
                <w:sz w:val="24"/>
              </w:rPr>
            </w:pPr>
            <w:r>
              <w:rPr>
                <w:rFonts w:hint="eastAsia"/>
                <w:sz w:val="24"/>
              </w:rPr>
              <w:t>新时代提升中国参与全球教育治理的能力及策略研究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2020</w:t>
            </w:r>
          </w:p>
        </w:tc>
        <w:tc>
          <w:tcPr>
            <w:tcW w:w="7920" w:type="dxa"/>
            <w:noWrap w:val="0"/>
            <w:vAlign w:val="center"/>
          </w:tcPr>
          <w:p>
            <w:pPr>
              <w:rPr>
                <w:rFonts w:hint="eastAsia"/>
                <w:sz w:val="24"/>
              </w:rPr>
            </w:pPr>
            <w:r>
              <w:rPr>
                <w:rFonts w:hint="eastAsia"/>
                <w:sz w:val="24"/>
              </w:rPr>
              <w:t>教育现代化背景下的学生美育评价研究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2020</w:t>
            </w:r>
          </w:p>
        </w:tc>
        <w:tc>
          <w:tcPr>
            <w:tcW w:w="7920" w:type="dxa"/>
            <w:noWrap w:val="0"/>
            <w:vAlign w:val="center"/>
          </w:tcPr>
          <w:p>
            <w:pPr>
              <w:rPr>
                <w:rFonts w:hint="eastAsia"/>
                <w:sz w:val="24"/>
              </w:rPr>
            </w:pPr>
            <w:r>
              <w:rPr>
                <w:rFonts w:hint="eastAsia"/>
                <w:sz w:val="24"/>
              </w:rPr>
              <w:t>完善党对教育工作全面领导的制度研究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2020</w:t>
            </w:r>
          </w:p>
        </w:tc>
        <w:tc>
          <w:tcPr>
            <w:tcW w:w="7920" w:type="dxa"/>
            <w:noWrap w:val="0"/>
            <w:vAlign w:val="center"/>
          </w:tcPr>
          <w:p>
            <w:pPr>
              <w:rPr>
                <w:rFonts w:hint="eastAsia"/>
                <w:sz w:val="24"/>
              </w:rPr>
            </w:pPr>
            <w:r>
              <w:rPr>
                <w:rFonts w:hint="eastAsia"/>
                <w:sz w:val="24"/>
              </w:rPr>
              <w:t>新时代提高教师地位的政策体系研究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2020</w:t>
            </w:r>
          </w:p>
        </w:tc>
        <w:tc>
          <w:tcPr>
            <w:tcW w:w="7920" w:type="dxa"/>
            <w:noWrap w:val="0"/>
            <w:vAlign w:val="center"/>
          </w:tcPr>
          <w:p>
            <w:pPr>
              <w:rPr>
                <w:rFonts w:hint="eastAsia"/>
                <w:sz w:val="24"/>
              </w:rPr>
            </w:pPr>
            <w:r>
              <w:rPr>
                <w:rFonts w:hint="eastAsia"/>
                <w:sz w:val="24"/>
              </w:rPr>
              <w:t>学生信息素养的内涵、标准与评价体系研究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2020</w:t>
            </w:r>
          </w:p>
        </w:tc>
        <w:tc>
          <w:tcPr>
            <w:tcW w:w="7920" w:type="dxa"/>
            <w:noWrap w:val="0"/>
            <w:vAlign w:val="center"/>
          </w:tcPr>
          <w:p>
            <w:pPr>
              <w:rPr>
                <w:rFonts w:hint="eastAsia"/>
                <w:sz w:val="24"/>
              </w:rPr>
            </w:pPr>
            <w:r>
              <w:rPr>
                <w:rFonts w:hint="eastAsia"/>
                <w:sz w:val="24"/>
              </w:rPr>
              <w:t>促进教育治理能力提升的教育评价制度改革研究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2020</w:t>
            </w:r>
          </w:p>
        </w:tc>
        <w:tc>
          <w:tcPr>
            <w:tcW w:w="7920" w:type="dxa"/>
            <w:noWrap w:val="0"/>
            <w:vAlign w:val="center"/>
          </w:tcPr>
          <w:p>
            <w:pPr>
              <w:rPr>
                <w:rFonts w:hint="eastAsia"/>
                <w:sz w:val="24"/>
              </w:rPr>
            </w:pPr>
            <w:r>
              <w:rPr>
                <w:rFonts w:hint="eastAsia"/>
                <w:sz w:val="24"/>
              </w:rPr>
              <w:t>我国学前教育可持续发展的路径与对策研究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2020</w:t>
            </w:r>
          </w:p>
        </w:tc>
        <w:tc>
          <w:tcPr>
            <w:tcW w:w="7920" w:type="dxa"/>
            <w:noWrap w:val="0"/>
            <w:vAlign w:val="center"/>
          </w:tcPr>
          <w:p>
            <w:pPr>
              <w:rPr>
                <w:rFonts w:hint="eastAsia"/>
                <w:sz w:val="24"/>
              </w:rPr>
            </w:pPr>
            <w:r>
              <w:rPr>
                <w:rFonts w:hint="eastAsia"/>
                <w:sz w:val="24"/>
              </w:rPr>
              <w:t>新时代“五育”融合实践路径与评价改革研究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2020</w:t>
            </w:r>
          </w:p>
        </w:tc>
        <w:tc>
          <w:tcPr>
            <w:tcW w:w="7920" w:type="dxa"/>
            <w:noWrap w:val="0"/>
            <w:vAlign w:val="center"/>
          </w:tcPr>
          <w:p>
            <w:pPr>
              <w:rPr>
                <w:rFonts w:hint="eastAsia"/>
                <w:sz w:val="24"/>
              </w:rPr>
            </w:pPr>
            <w:r>
              <w:rPr>
                <w:rFonts w:hint="eastAsia"/>
                <w:sz w:val="24"/>
              </w:rPr>
              <w:t>适应新课程改革和新高考改革的普通高中育人方式变革研究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2020</w:t>
            </w:r>
          </w:p>
        </w:tc>
        <w:tc>
          <w:tcPr>
            <w:tcW w:w="7920" w:type="dxa"/>
            <w:noWrap w:val="0"/>
            <w:vAlign w:val="center"/>
          </w:tcPr>
          <w:p>
            <w:pPr>
              <w:rPr>
                <w:rFonts w:hint="eastAsia"/>
                <w:sz w:val="24"/>
              </w:rPr>
            </w:pPr>
            <w:r>
              <w:rPr>
                <w:rFonts w:hint="eastAsia"/>
                <w:sz w:val="24"/>
              </w:rPr>
              <w:t>中西部地区推进高考综合改革研究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2020</w:t>
            </w:r>
          </w:p>
        </w:tc>
        <w:tc>
          <w:tcPr>
            <w:tcW w:w="7920" w:type="dxa"/>
            <w:noWrap w:val="0"/>
            <w:vAlign w:val="center"/>
          </w:tcPr>
          <w:p>
            <w:pPr>
              <w:rPr>
                <w:rFonts w:hint="eastAsia"/>
                <w:sz w:val="24"/>
              </w:rPr>
            </w:pPr>
            <w:r>
              <w:rPr>
                <w:rFonts w:hint="eastAsia"/>
                <w:sz w:val="24"/>
              </w:rPr>
              <w:t>“十四五”期间我国高等教育发展目标与推进策略研究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2020</w:t>
            </w:r>
          </w:p>
        </w:tc>
        <w:tc>
          <w:tcPr>
            <w:tcW w:w="7920" w:type="dxa"/>
            <w:noWrap w:val="0"/>
            <w:vAlign w:val="center"/>
          </w:tcPr>
          <w:p>
            <w:pPr>
              <w:rPr>
                <w:rFonts w:hint="eastAsia"/>
                <w:sz w:val="24"/>
              </w:rPr>
            </w:pPr>
            <w:r>
              <w:rPr>
                <w:rFonts w:hint="eastAsia"/>
                <w:sz w:val="24"/>
              </w:rPr>
              <w:t>面向2035中国教育对外开放战略及推进策略研究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2020</w:t>
            </w:r>
          </w:p>
        </w:tc>
        <w:tc>
          <w:tcPr>
            <w:tcW w:w="7920" w:type="dxa"/>
            <w:noWrap w:val="0"/>
            <w:vAlign w:val="center"/>
          </w:tcPr>
          <w:p>
            <w:pPr>
              <w:rPr>
                <w:rFonts w:hint="eastAsia"/>
                <w:sz w:val="24"/>
              </w:rPr>
            </w:pPr>
            <w:r>
              <w:rPr>
                <w:rFonts w:hint="eastAsia"/>
                <w:sz w:val="24"/>
              </w:rPr>
              <w:t>粤港澳大湾区教育一体化发展的问题与制度创新研究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2020</w:t>
            </w:r>
          </w:p>
        </w:tc>
        <w:tc>
          <w:tcPr>
            <w:tcW w:w="7920" w:type="dxa"/>
            <w:noWrap w:val="0"/>
            <w:vAlign w:val="center"/>
          </w:tcPr>
          <w:p>
            <w:pPr>
              <w:rPr>
                <w:rFonts w:hint="eastAsia"/>
                <w:sz w:val="24"/>
              </w:rPr>
            </w:pPr>
            <w:r>
              <w:rPr>
                <w:rFonts w:hint="eastAsia"/>
                <w:sz w:val="24"/>
              </w:rPr>
              <w:t>新时代民办教育发展战略和治理创新研究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rFonts w:hint="eastAsia"/>
                <w:sz w:val="24"/>
              </w:rPr>
            </w:pPr>
            <w:r>
              <w:rPr>
                <w:rFonts w:hint="eastAsia"/>
                <w:sz w:val="24"/>
              </w:rPr>
              <w:t>2019</w:t>
            </w:r>
          </w:p>
        </w:tc>
        <w:tc>
          <w:tcPr>
            <w:tcW w:w="7920" w:type="dxa"/>
            <w:noWrap w:val="0"/>
            <w:vAlign w:val="top"/>
          </w:tcPr>
          <w:p>
            <w:pPr>
              <w:jc w:val="left"/>
              <w:rPr>
                <w:sz w:val="24"/>
              </w:rPr>
            </w:pPr>
            <w:r>
              <w:rPr>
                <w:rFonts w:hint="eastAsia"/>
                <w:sz w:val="24"/>
              </w:rPr>
              <w:t>中国特色社会主义教育理论体系研究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sz w:val="24"/>
              </w:rPr>
            </w:pPr>
            <w:r>
              <w:rPr>
                <w:rFonts w:hint="eastAsia"/>
                <w:sz w:val="24"/>
              </w:rPr>
              <w:t>2019</w:t>
            </w:r>
          </w:p>
        </w:tc>
        <w:tc>
          <w:tcPr>
            <w:tcW w:w="7920" w:type="dxa"/>
            <w:noWrap w:val="0"/>
            <w:vAlign w:val="top"/>
          </w:tcPr>
          <w:p>
            <w:pPr>
              <w:jc w:val="left"/>
              <w:rPr>
                <w:sz w:val="24"/>
              </w:rPr>
            </w:pPr>
            <w:r>
              <w:rPr>
                <w:rFonts w:hint="eastAsia"/>
                <w:sz w:val="24"/>
              </w:rPr>
              <w:t>立德树人的落实机制研究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sz w:val="24"/>
              </w:rPr>
            </w:pPr>
            <w:r>
              <w:rPr>
                <w:rFonts w:hint="eastAsia"/>
                <w:sz w:val="24"/>
              </w:rPr>
              <w:t>2019</w:t>
            </w:r>
          </w:p>
        </w:tc>
        <w:tc>
          <w:tcPr>
            <w:tcW w:w="7920" w:type="dxa"/>
            <w:noWrap w:val="0"/>
            <w:vAlign w:val="top"/>
          </w:tcPr>
          <w:p>
            <w:pPr>
              <w:jc w:val="left"/>
              <w:rPr>
                <w:sz w:val="24"/>
              </w:rPr>
            </w:pPr>
            <w:r>
              <w:rPr>
                <w:rFonts w:hint="eastAsia"/>
                <w:sz w:val="24"/>
              </w:rPr>
              <w:t>教育适应中国人口结构发展趋势研究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sz w:val="24"/>
              </w:rPr>
            </w:pPr>
            <w:r>
              <w:rPr>
                <w:rFonts w:hint="eastAsia"/>
                <w:sz w:val="24"/>
              </w:rPr>
              <w:t>2019</w:t>
            </w:r>
          </w:p>
        </w:tc>
        <w:tc>
          <w:tcPr>
            <w:tcW w:w="7920" w:type="dxa"/>
            <w:noWrap w:val="0"/>
            <w:vAlign w:val="top"/>
          </w:tcPr>
          <w:p>
            <w:pPr>
              <w:jc w:val="left"/>
              <w:rPr>
                <w:sz w:val="24"/>
              </w:rPr>
            </w:pPr>
            <w:r>
              <w:rPr>
                <w:rFonts w:hint="eastAsia"/>
                <w:sz w:val="24"/>
              </w:rPr>
              <w:t>新时代中国教育高质量发展的路径和对策研究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sz w:val="24"/>
              </w:rPr>
            </w:pPr>
            <w:r>
              <w:rPr>
                <w:rFonts w:hint="eastAsia"/>
                <w:sz w:val="24"/>
              </w:rPr>
              <w:t>2019</w:t>
            </w:r>
          </w:p>
        </w:tc>
        <w:tc>
          <w:tcPr>
            <w:tcW w:w="7920" w:type="dxa"/>
            <w:noWrap w:val="0"/>
            <w:vAlign w:val="top"/>
          </w:tcPr>
          <w:p>
            <w:pPr>
              <w:jc w:val="left"/>
              <w:rPr>
                <w:sz w:val="24"/>
              </w:rPr>
            </w:pPr>
            <w:r>
              <w:rPr>
                <w:rFonts w:hint="eastAsia"/>
                <w:sz w:val="24"/>
              </w:rPr>
              <w:t>新中国成立70年教育发展的历史阶段及其特征与经验研究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sz w:val="24"/>
              </w:rPr>
            </w:pPr>
            <w:r>
              <w:rPr>
                <w:rFonts w:hint="eastAsia"/>
                <w:sz w:val="24"/>
              </w:rPr>
              <w:t>2019</w:t>
            </w:r>
          </w:p>
        </w:tc>
        <w:tc>
          <w:tcPr>
            <w:tcW w:w="7920" w:type="dxa"/>
            <w:noWrap w:val="0"/>
            <w:vAlign w:val="top"/>
          </w:tcPr>
          <w:p>
            <w:pPr>
              <w:jc w:val="left"/>
              <w:rPr>
                <w:sz w:val="24"/>
              </w:rPr>
            </w:pPr>
            <w:r>
              <w:rPr>
                <w:rFonts w:hint="eastAsia"/>
                <w:sz w:val="24"/>
              </w:rPr>
              <w:t>人工智能与未来教育发展研究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sz w:val="24"/>
              </w:rPr>
            </w:pPr>
            <w:r>
              <w:rPr>
                <w:rFonts w:hint="eastAsia"/>
                <w:sz w:val="24"/>
              </w:rPr>
              <w:t>2019</w:t>
            </w:r>
          </w:p>
        </w:tc>
        <w:tc>
          <w:tcPr>
            <w:tcW w:w="7920" w:type="dxa"/>
            <w:noWrap w:val="0"/>
            <w:vAlign w:val="top"/>
          </w:tcPr>
          <w:p>
            <w:pPr>
              <w:jc w:val="left"/>
              <w:rPr>
                <w:sz w:val="24"/>
              </w:rPr>
            </w:pPr>
            <w:r>
              <w:rPr>
                <w:rFonts w:hint="eastAsia"/>
                <w:sz w:val="24"/>
              </w:rPr>
              <w:t>新时代教师专业标准研究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sz w:val="24"/>
              </w:rPr>
            </w:pPr>
            <w:r>
              <w:rPr>
                <w:rFonts w:hint="eastAsia"/>
                <w:sz w:val="24"/>
              </w:rPr>
              <w:t>2019</w:t>
            </w:r>
          </w:p>
        </w:tc>
        <w:tc>
          <w:tcPr>
            <w:tcW w:w="7920" w:type="dxa"/>
            <w:noWrap w:val="0"/>
            <w:vAlign w:val="top"/>
          </w:tcPr>
          <w:p>
            <w:pPr>
              <w:jc w:val="left"/>
              <w:rPr>
                <w:sz w:val="24"/>
              </w:rPr>
            </w:pPr>
            <w:r>
              <w:rPr>
                <w:rFonts w:hint="eastAsia"/>
                <w:sz w:val="24"/>
              </w:rPr>
              <w:t>我国推进教育2030目标监测指标体系及方法研究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sz w:val="24"/>
              </w:rPr>
            </w:pPr>
            <w:r>
              <w:rPr>
                <w:rFonts w:hint="eastAsia"/>
                <w:sz w:val="24"/>
              </w:rPr>
              <w:t>2019</w:t>
            </w:r>
          </w:p>
        </w:tc>
        <w:tc>
          <w:tcPr>
            <w:tcW w:w="7920" w:type="dxa"/>
            <w:noWrap w:val="0"/>
            <w:vAlign w:val="top"/>
          </w:tcPr>
          <w:p>
            <w:pPr>
              <w:jc w:val="left"/>
              <w:rPr>
                <w:sz w:val="24"/>
              </w:rPr>
            </w:pPr>
            <w:r>
              <w:rPr>
                <w:rFonts w:hint="eastAsia"/>
                <w:sz w:val="24"/>
              </w:rPr>
              <w:t>教育领域风险点特征与防范机制研究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sz w:val="24"/>
              </w:rPr>
            </w:pPr>
            <w:r>
              <w:rPr>
                <w:rFonts w:hint="eastAsia"/>
                <w:sz w:val="24"/>
              </w:rPr>
              <w:t>2019</w:t>
            </w:r>
          </w:p>
        </w:tc>
        <w:tc>
          <w:tcPr>
            <w:tcW w:w="7920" w:type="dxa"/>
            <w:noWrap w:val="0"/>
            <w:vAlign w:val="top"/>
          </w:tcPr>
          <w:p>
            <w:pPr>
              <w:jc w:val="left"/>
              <w:rPr>
                <w:sz w:val="24"/>
              </w:rPr>
            </w:pPr>
            <w:r>
              <w:rPr>
                <w:rFonts w:hint="eastAsia"/>
                <w:sz w:val="24"/>
              </w:rPr>
              <w:t>教育扶贫的现状、问题与对策研究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sz w:val="24"/>
              </w:rPr>
            </w:pPr>
            <w:r>
              <w:rPr>
                <w:rFonts w:hint="eastAsia"/>
                <w:sz w:val="24"/>
              </w:rPr>
              <w:t>2019</w:t>
            </w:r>
          </w:p>
        </w:tc>
        <w:tc>
          <w:tcPr>
            <w:tcW w:w="7920" w:type="dxa"/>
            <w:noWrap w:val="0"/>
            <w:vAlign w:val="top"/>
          </w:tcPr>
          <w:p>
            <w:pPr>
              <w:jc w:val="left"/>
              <w:rPr>
                <w:sz w:val="24"/>
              </w:rPr>
            </w:pPr>
            <w:r>
              <w:rPr>
                <w:rFonts w:hint="eastAsia"/>
                <w:sz w:val="24"/>
              </w:rPr>
              <w:t>雄安新区教育与经济社会协同发展研究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sz w:val="24"/>
              </w:rPr>
            </w:pPr>
            <w:r>
              <w:rPr>
                <w:rFonts w:hint="eastAsia"/>
                <w:sz w:val="24"/>
              </w:rPr>
              <w:t>2019</w:t>
            </w:r>
          </w:p>
        </w:tc>
        <w:tc>
          <w:tcPr>
            <w:tcW w:w="7920" w:type="dxa"/>
            <w:noWrap w:val="0"/>
            <w:vAlign w:val="top"/>
          </w:tcPr>
          <w:p>
            <w:pPr>
              <w:jc w:val="left"/>
              <w:rPr>
                <w:sz w:val="24"/>
              </w:rPr>
            </w:pPr>
            <w:r>
              <w:rPr>
                <w:rFonts w:hint="eastAsia"/>
                <w:sz w:val="24"/>
              </w:rPr>
              <w:t>新时代劳动教育的中国理论和中国探索研究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sz w:val="24"/>
              </w:rPr>
            </w:pPr>
            <w:r>
              <w:rPr>
                <w:rFonts w:hint="eastAsia"/>
                <w:sz w:val="24"/>
              </w:rPr>
              <w:t>2019</w:t>
            </w:r>
          </w:p>
        </w:tc>
        <w:tc>
          <w:tcPr>
            <w:tcW w:w="7920" w:type="dxa"/>
            <w:noWrap w:val="0"/>
            <w:vAlign w:val="top"/>
          </w:tcPr>
          <w:p>
            <w:pPr>
              <w:jc w:val="left"/>
              <w:rPr>
                <w:sz w:val="24"/>
              </w:rPr>
            </w:pPr>
            <w:r>
              <w:rPr>
                <w:rFonts w:hint="eastAsia"/>
                <w:sz w:val="24"/>
              </w:rPr>
              <w:t>职业学校与应用型本科产教融合评价体系与监测研究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sz w:val="24"/>
              </w:rPr>
            </w:pPr>
            <w:r>
              <w:rPr>
                <w:rFonts w:hint="eastAsia"/>
                <w:sz w:val="24"/>
              </w:rPr>
              <w:t>2019</w:t>
            </w:r>
          </w:p>
        </w:tc>
        <w:tc>
          <w:tcPr>
            <w:tcW w:w="7920" w:type="dxa"/>
            <w:noWrap w:val="0"/>
            <w:vAlign w:val="top"/>
          </w:tcPr>
          <w:p>
            <w:pPr>
              <w:jc w:val="left"/>
              <w:rPr>
                <w:sz w:val="24"/>
              </w:rPr>
            </w:pPr>
            <w:r>
              <w:rPr>
                <w:rFonts w:hint="eastAsia"/>
                <w:sz w:val="24"/>
              </w:rPr>
              <w:t>中国特色、世界水平的一流本科教育建设标准与建设机制研究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sz w:val="24"/>
              </w:rPr>
            </w:pPr>
            <w:r>
              <w:rPr>
                <w:rFonts w:hint="eastAsia"/>
                <w:sz w:val="24"/>
              </w:rPr>
              <w:t>2019</w:t>
            </w:r>
          </w:p>
        </w:tc>
        <w:tc>
          <w:tcPr>
            <w:tcW w:w="7920" w:type="dxa"/>
            <w:noWrap w:val="0"/>
            <w:vAlign w:val="top"/>
          </w:tcPr>
          <w:p>
            <w:pPr>
              <w:jc w:val="left"/>
              <w:rPr>
                <w:sz w:val="24"/>
              </w:rPr>
            </w:pPr>
            <w:r>
              <w:rPr>
                <w:rFonts w:hint="eastAsia"/>
                <w:sz w:val="24"/>
              </w:rPr>
              <w:t>中国学生体质健康综合干预和评估体系研究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sz w:val="24"/>
              </w:rPr>
            </w:pPr>
            <w:r>
              <w:rPr>
                <w:rFonts w:hint="eastAsia"/>
                <w:sz w:val="24"/>
              </w:rPr>
              <w:t>2019</w:t>
            </w:r>
          </w:p>
        </w:tc>
        <w:tc>
          <w:tcPr>
            <w:tcW w:w="7920" w:type="dxa"/>
            <w:noWrap w:val="0"/>
            <w:vAlign w:val="top"/>
          </w:tcPr>
          <w:p>
            <w:pPr>
              <w:jc w:val="left"/>
              <w:rPr>
                <w:sz w:val="24"/>
              </w:rPr>
            </w:pPr>
            <w:r>
              <w:rPr>
                <w:rFonts w:hint="eastAsia"/>
                <w:sz w:val="24"/>
              </w:rPr>
              <w:t>构建人类命运共同体视域下国际教育援助理论与我国教育援助策略研究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sz w:val="24"/>
              </w:rPr>
            </w:pPr>
            <w:r>
              <w:rPr>
                <w:rFonts w:hint="eastAsia"/>
                <w:sz w:val="24"/>
              </w:rPr>
              <w:t>2019</w:t>
            </w:r>
          </w:p>
        </w:tc>
        <w:tc>
          <w:tcPr>
            <w:tcW w:w="7920" w:type="dxa"/>
            <w:noWrap w:val="0"/>
            <w:vAlign w:val="top"/>
          </w:tcPr>
          <w:p>
            <w:pPr>
              <w:jc w:val="left"/>
              <w:rPr>
                <w:sz w:val="24"/>
              </w:rPr>
            </w:pPr>
            <w:r>
              <w:rPr>
                <w:rFonts w:hint="eastAsia"/>
                <w:sz w:val="24"/>
              </w:rPr>
              <w:t>中小学艺术教育改革研究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sz w:val="24"/>
              </w:rPr>
            </w:pPr>
            <w:r>
              <w:rPr>
                <w:rFonts w:hint="eastAsia"/>
                <w:sz w:val="24"/>
              </w:rPr>
              <w:t>2019</w:t>
            </w:r>
          </w:p>
        </w:tc>
        <w:tc>
          <w:tcPr>
            <w:tcW w:w="7920" w:type="dxa"/>
            <w:noWrap w:val="0"/>
            <w:vAlign w:val="top"/>
          </w:tcPr>
          <w:p>
            <w:pPr>
              <w:jc w:val="left"/>
              <w:rPr>
                <w:sz w:val="24"/>
              </w:rPr>
            </w:pPr>
            <w:r>
              <w:rPr>
                <w:rFonts w:hint="eastAsia"/>
                <w:sz w:val="24"/>
              </w:rPr>
              <w:t>教育培训市场治理路径与监测指标研究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rFonts w:hint="eastAsia"/>
                <w:sz w:val="24"/>
              </w:rPr>
            </w:pPr>
            <w:r>
              <w:rPr>
                <w:rFonts w:hint="eastAsia"/>
                <w:sz w:val="24"/>
              </w:rPr>
              <w:t>2018</w:t>
            </w:r>
          </w:p>
        </w:tc>
        <w:tc>
          <w:tcPr>
            <w:tcW w:w="7920" w:type="dxa"/>
            <w:noWrap w:val="0"/>
            <w:vAlign w:val="center"/>
          </w:tcPr>
          <w:p>
            <w:pPr>
              <w:widowControl/>
              <w:jc w:val="left"/>
              <w:rPr>
                <w:sz w:val="24"/>
              </w:rPr>
            </w:pPr>
            <w:r>
              <w:rPr>
                <w:rFonts w:hint="eastAsia"/>
                <w:sz w:val="24"/>
              </w:rPr>
              <w:t>习近平新时代中国特色社会主义教育思想研究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2018</w:t>
            </w:r>
          </w:p>
        </w:tc>
        <w:tc>
          <w:tcPr>
            <w:tcW w:w="7920" w:type="dxa"/>
            <w:noWrap w:val="0"/>
            <w:vAlign w:val="center"/>
          </w:tcPr>
          <w:p>
            <w:pPr>
              <w:rPr>
                <w:rFonts w:hint="eastAsia"/>
                <w:sz w:val="24"/>
              </w:rPr>
            </w:pPr>
            <w:r>
              <w:rPr>
                <w:rFonts w:hint="eastAsia"/>
                <w:sz w:val="24"/>
              </w:rPr>
              <w:t>建设教育强国的国际经验与中国路径研究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2018</w:t>
            </w:r>
          </w:p>
        </w:tc>
        <w:tc>
          <w:tcPr>
            <w:tcW w:w="7920" w:type="dxa"/>
            <w:noWrap w:val="0"/>
            <w:vAlign w:val="center"/>
          </w:tcPr>
          <w:p>
            <w:pPr>
              <w:rPr>
                <w:rFonts w:hint="eastAsia"/>
                <w:sz w:val="24"/>
              </w:rPr>
            </w:pPr>
            <w:r>
              <w:rPr>
                <w:rFonts w:hint="eastAsia"/>
                <w:sz w:val="24"/>
              </w:rPr>
              <w:t>教材建设中创新性发展中华优秀传统文化研究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2018</w:t>
            </w:r>
          </w:p>
        </w:tc>
        <w:tc>
          <w:tcPr>
            <w:tcW w:w="7920" w:type="dxa"/>
            <w:noWrap w:val="0"/>
            <w:vAlign w:val="center"/>
          </w:tcPr>
          <w:p>
            <w:pPr>
              <w:rPr>
                <w:rFonts w:hint="eastAsia"/>
                <w:sz w:val="24"/>
              </w:rPr>
            </w:pPr>
            <w:r>
              <w:rPr>
                <w:rFonts w:hint="eastAsia"/>
                <w:sz w:val="24"/>
              </w:rPr>
              <w:t>振兴乡村战略中的农村教育现代化研究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2018</w:t>
            </w:r>
          </w:p>
        </w:tc>
        <w:tc>
          <w:tcPr>
            <w:tcW w:w="7920" w:type="dxa"/>
            <w:noWrap w:val="0"/>
            <w:vAlign w:val="center"/>
          </w:tcPr>
          <w:p>
            <w:pPr>
              <w:rPr>
                <w:rFonts w:hint="eastAsia"/>
                <w:sz w:val="24"/>
              </w:rPr>
            </w:pPr>
            <w:r>
              <w:rPr>
                <w:rFonts w:hint="eastAsia"/>
                <w:sz w:val="24"/>
              </w:rPr>
              <w:t>适应老龄社会的教育体系完善研究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2018</w:t>
            </w:r>
          </w:p>
        </w:tc>
        <w:tc>
          <w:tcPr>
            <w:tcW w:w="7920" w:type="dxa"/>
            <w:noWrap w:val="0"/>
            <w:vAlign w:val="center"/>
          </w:tcPr>
          <w:p>
            <w:pPr>
              <w:rPr>
                <w:rFonts w:hint="eastAsia"/>
                <w:sz w:val="24"/>
              </w:rPr>
            </w:pPr>
            <w:r>
              <w:rPr>
                <w:rFonts w:hint="eastAsia"/>
                <w:sz w:val="24"/>
              </w:rPr>
              <w:t>改革开放40年教育改革发展的回顾与反思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2018</w:t>
            </w:r>
          </w:p>
        </w:tc>
        <w:tc>
          <w:tcPr>
            <w:tcW w:w="7920" w:type="dxa"/>
            <w:noWrap w:val="0"/>
            <w:vAlign w:val="center"/>
          </w:tcPr>
          <w:p>
            <w:pPr>
              <w:rPr>
                <w:rFonts w:hint="eastAsia"/>
                <w:sz w:val="24"/>
              </w:rPr>
            </w:pPr>
            <w:r>
              <w:rPr>
                <w:rFonts w:hint="eastAsia"/>
                <w:sz w:val="24"/>
              </w:rPr>
              <w:t>“十三五”期间学龄人口变动和基础教育资源配置规划研究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2018</w:t>
            </w:r>
          </w:p>
        </w:tc>
        <w:tc>
          <w:tcPr>
            <w:tcW w:w="7920" w:type="dxa"/>
            <w:noWrap w:val="0"/>
            <w:vAlign w:val="center"/>
          </w:tcPr>
          <w:p>
            <w:pPr>
              <w:rPr>
                <w:rFonts w:hint="eastAsia"/>
                <w:sz w:val="24"/>
              </w:rPr>
            </w:pPr>
            <w:r>
              <w:rPr>
                <w:rFonts w:hint="eastAsia"/>
                <w:sz w:val="24"/>
              </w:rPr>
              <w:t xml:space="preserve">职业教育精准扶贫实施以及民众精准脱贫获得感评价研究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2018</w:t>
            </w:r>
          </w:p>
        </w:tc>
        <w:tc>
          <w:tcPr>
            <w:tcW w:w="7920" w:type="dxa"/>
            <w:noWrap w:val="0"/>
            <w:vAlign w:val="center"/>
          </w:tcPr>
          <w:p>
            <w:pPr>
              <w:rPr>
                <w:rFonts w:hint="eastAsia"/>
                <w:sz w:val="24"/>
              </w:rPr>
            </w:pPr>
            <w:r>
              <w:rPr>
                <w:rFonts w:hint="eastAsia"/>
                <w:sz w:val="24"/>
              </w:rPr>
              <w:t>加快“双一流”建设的理论创新与实践路径研究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2018</w:t>
            </w:r>
          </w:p>
        </w:tc>
        <w:tc>
          <w:tcPr>
            <w:tcW w:w="7920" w:type="dxa"/>
            <w:noWrap w:val="0"/>
            <w:vAlign w:val="center"/>
          </w:tcPr>
          <w:p>
            <w:pPr>
              <w:rPr>
                <w:rFonts w:hint="eastAsia"/>
                <w:sz w:val="24"/>
              </w:rPr>
            </w:pPr>
            <w:r>
              <w:rPr>
                <w:rFonts w:hint="eastAsia"/>
                <w:sz w:val="24"/>
              </w:rPr>
              <w:t>创新驱动战略视角下高校科技成果转化的体制与机制改革研究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2018</w:t>
            </w:r>
          </w:p>
        </w:tc>
        <w:tc>
          <w:tcPr>
            <w:tcW w:w="7920" w:type="dxa"/>
            <w:noWrap w:val="0"/>
            <w:vAlign w:val="center"/>
          </w:tcPr>
          <w:p>
            <w:pPr>
              <w:rPr>
                <w:rFonts w:hint="eastAsia"/>
                <w:sz w:val="24"/>
              </w:rPr>
            </w:pPr>
            <w:r>
              <w:rPr>
                <w:rFonts w:hint="eastAsia"/>
                <w:sz w:val="24"/>
              </w:rPr>
              <w:t>我国研究生培养质量指数研究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2018</w:t>
            </w:r>
          </w:p>
        </w:tc>
        <w:tc>
          <w:tcPr>
            <w:tcW w:w="7920" w:type="dxa"/>
            <w:noWrap w:val="0"/>
            <w:vAlign w:val="center"/>
          </w:tcPr>
          <w:p>
            <w:pPr>
              <w:rPr>
                <w:rFonts w:hint="eastAsia"/>
                <w:sz w:val="24"/>
              </w:rPr>
            </w:pPr>
            <w:r>
              <w:rPr>
                <w:rFonts w:hint="eastAsia"/>
                <w:sz w:val="24"/>
              </w:rPr>
              <w:t>中国教育评估监测制度研究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2018</w:t>
            </w:r>
          </w:p>
        </w:tc>
        <w:tc>
          <w:tcPr>
            <w:tcW w:w="7920" w:type="dxa"/>
            <w:noWrap w:val="0"/>
            <w:vAlign w:val="center"/>
          </w:tcPr>
          <w:p>
            <w:pPr>
              <w:rPr>
                <w:rFonts w:hint="eastAsia"/>
                <w:sz w:val="24"/>
              </w:rPr>
            </w:pPr>
            <w:r>
              <w:rPr>
                <w:rFonts w:hint="eastAsia"/>
                <w:sz w:val="24"/>
              </w:rPr>
              <w:t>一带一路沿线关键土著语言文化通识课程体系建设研究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2018</w:t>
            </w:r>
          </w:p>
        </w:tc>
        <w:tc>
          <w:tcPr>
            <w:tcW w:w="7920" w:type="dxa"/>
            <w:noWrap w:val="0"/>
            <w:vAlign w:val="center"/>
          </w:tcPr>
          <w:p>
            <w:pPr>
              <w:rPr>
                <w:rFonts w:hint="eastAsia"/>
                <w:sz w:val="24"/>
              </w:rPr>
            </w:pPr>
            <w:r>
              <w:rPr>
                <w:rFonts w:hint="eastAsia"/>
                <w:sz w:val="24"/>
              </w:rPr>
              <w:t>家校合作的国际经验与本土化实践研究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2018</w:t>
            </w:r>
          </w:p>
        </w:tc>
        <w:tc>
          <w:tcPr>
            <w:tcW w:w="7920" w:type="dxa"/>
            <w:noWrap w:val="0"/>
            <w:vAlign w:val="center"/>
          </w:tcPr>
          <w:p>
            <w:pPr>
              <w:rPr>
                <w:rFonts w:hint="eastAsia"/>
                <w:sz w:val="24"/>
              </w:rPr>
            </w:pPr>
            <w:r>
              <w:rPr>
                <w:rFonts w:hint="eastAsia"/>
                <w:sz w:val="24"/>
              </w:rPr>
              <w:t>中华人民共和国教育学史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540" w:type="dxa"/>
            <w:gridSpan w:val="2"/>
            <w:noWrap w:val="0"/>
            <w:vAlign w:val="top"/>
          </w:tcPr>
          <w:p>
            <w:pPr>
              <w:jc w:val="center"/>
              <w:rPr>
                <w:rFonts w:hint="eastAsia"/>
                <w:b/>
                <w:sz w:val="24"/>
              </w:rPr>
            </w:pPr>
            <w:r>
              <w:rPr>
                <w:rFonts w:hint="eastAsia" w:ascii="楷体_GB2312" w:eastAsia="楷体_GB2312"/>
                <w:b/>
                <w:sz w:val="28"/>
                <w:szCs w:val="28"/>
              </w:rPr>
              <w:t>教育部哲学社会科学研究教育学重大攻关课题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rFonts w:hint="default" w:eastAsia="宋体"/>
                <w:sz w:val="24"/>
                <w:lang w:val="en-US" w:eastAsia="zh-CN"/>
              </w:rPr>
            </w:pPr>
            <w:r>
              <w:rPr>
                <w:rFonts w:hint="eastAsia"/>
                <w:sz w:val="24"/>
                <w:lang w:val="en-US" w:eastAsia="zh-CN"/>
              </w:rPr>
              <w:t>2022</w:t>
            </w:r>
          </w:p>
        </w:tc>
        <w:tc>
          <w:tcPr>
            <w:tcW w:w="7920" w:type="dxa"/>
            <w:noWrap w:val="0"/>
            <w:vAlign w:val="top"/>
          </w:tcPr>
          <w:p>
            <w:pPr>
              <w:jc w:val="left"/>
              <w:rPr>
                <w:rFonts w:ascii="Times New Roman" w:hAnsi="Times New Roman" w:eastAsia="宋体" w:cs="Times New Roman"/>
                <w:sz w:val="24"/>
              </w:rPr>
            </w:pPr>
            <w:r>
              <w:rPr>
                <w:rFonts w:hint="eastAsia" w:ascii="Times New Roman" w:hAnsi="Times New Roman" w:eastAsia="宋体" w:cs="Times New Roman"/>
                <w:sz w:val="24"/>
              </w:rPr>
              <w:t>大中小一体化学生心理健康教育与服务体系研究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lang w:val="en-US" w:eastAsia="zh-CN"/>
              </w:rPr>
              <w:t>2022</w:t>
            </w:r>
          </w:p>
        </w:tc>
        <w:tc>
          <w:tcPr>
            <w:tcW w:w="7920" w:type="dxa"/>
            <w:noWrap w:val="0"/>
            <w:vAlign w:val="top"/>
          </w:tcPr>
          <w:p>
            <w:pPr>
              <w:jc w:val="left"/>
              <w:rPr>
                <w:rFonts w:ascii="Times New Roman" w:hAnsi="Times New Roman" w:eastAsia="宋体" w:cs="Times New Roman"/>
                <w:sz w:val="24"/>
              </w:rPr>
            </w:pPr>
            <w:r>
              <w:rPr>
                <w:rFonts w:hint="eastAsia" w:ascii="Times New Roman" w:hAnsi="Times New Roman" w:eastAsia="宋体" w:cs="Times New Roman"/>
                <w:sz w:val="24"/>
              </w:rPr>
              <w:t>教育数字化转型的国际比较研究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lang w:val="en-US" w:eastAsia="zh-CN"/>
              </w:rPr>
              <w:t>2022</w:t>
            </w:r>
          </w:p>
        </w:tc>
        <w:tc>
          <w:tcPr>
            <w:tcW w:w="7920" w:type="dxa"/>
            <w:noWrap w:val="0"/>
            <w:vAlign w:val="top"/>
          </w:tcPr>
          <w:p>
            <w:pPr>
              <w:jc w:val="left"/>
              <w:rPr>
                <w:rFonts w:ascii="Times New Roman" w:hAnsi="Times New Roman" w:eastAsia="宋体" w:cs="Times New Roman"/>
                <w:sz w:val="24"/>
              </w:rPr>
            </w:pPr>
            <w:r>
              <w:rPr>
                <w:rFonts w:hint="eastAsia" w:ascii="Times New Roman" w:hAnsi="Times New Roman" w:eastAsia="宋体" w:cs="Times New Roman"/>
                <w:sz w:val="24"/>
              </w:rPr>
              <w:t>新时代教育评价改革的实现路径研究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lang w:val="en-US" w:eastAsia="zh-CN"/>
              </w:rPr>
              <w:t>2022</w:t>
            </w:r>
          </w:p>
        </w:tc>
        <w:tc>
          <w:tcPr>
            <w:tcW w:w="7920" w:type="dxa"/>
            <w:noWrap w:val="0"/>
            <w:vAlign w:val="top"/>
          </w:tcPr>
          <w:p>
            <w:pPr>
              <w:jc w:val="left"/>
              <w:rPr>
                <w:rFonts w:ascii="Times New Roman" w:hAnsi="Times New Roman" w:eastAsia="宋体" w:cs="Times New Roman"/>
                <w:sz w:val="24"/>
              </w:rPr>
            </w:pPr>
            <w:r>
              <w:rPr>
                <w:rFonts w:hint="eastAsia" w:ascii="Times New Roman" w:hAnsi="Times New Roman" w:eastAsia="宋体" w:cs="Times New Roman"/>
                <w:sz w:val="24"/>
              </w:rPr>
              <w:t>“双减”背景下基础教育课堂形态与高质量发展研究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lang w:val="en-US" w:eastAsia="zh-CN"/>
              </w:rPr>
              <w:t>2022</w:t>
            </w:r>
          </w:p>
        </w:tc>
        <w:tc>
          <w:tcPr>
            <w:tcW w:w="7920" w:type="dxa"/>
            <w:noWrap w:val="0"/>
            <w:vAlign w:val="top"/>
          </w:tcPr>
          <w:p>
            <w:pPr>
              <w:jc w:val="left"/>
              <w:rPr>
                <w:rFonts w:ascii="Times New Roman" w:hAnsi="Times New Roman" w:eastAsia="宋体" w:cs="Times New Roman"/>
                <w:sz w:val="24"/>
              </w:rPr>
            </w:pPr>
            <w:r>
              <w:rPr>
                <w:rFonts w:hint="eastAsia" w:ascii="Times New Roman" w:hAnsi="Times New Roman" w:eastAsia="宋体" w:cs="Times New Roman"/>
                <w:sz w:val="24"/>
              </w:rPr>
              <w:t>面向2035年的高校学科优化调整布局研究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lang w:val="en-US" w:eastAsia="zh-CN"/>
              </w:rPr>
              <w:t>2022</w:t>
            </w:r>
          </w:p>
        </w:tc>
        <w:tc>
          <w:tcPr>
            <w:tcW w:w="7920" w:type="dxa"/>
            <w:noWrap w:val="0"/>
            <w:vAlign w:val="top"/>
          </w:tcPr>
          <w:p>
            <w:pPr>
              <w:jc w:val="left"/>
              <w:rPr>
                <w:rFonts w:ascii="Times New Roman" w:hAnsi="Times New Roman" w:eastAsia="宋体" w:cs="Times New Roman"/>
                <w:sz w:val="24"/>
              </w:rPr>
            </w:pPr>
            <w:r>
              <w:rPr>
                <w:rFonts w:hint="eastAsia" w:ascii="Times New Roman" w:hAnsi="Times New Roman" w:eastAsia="宋体" w:cs="Times New Roman"/>
                <w:sz w:val="24"/>
              </w:rPr>
              <w:t>新时代中国高校内部治理能力提升研究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rFonts w:hint="eastAsia"/>
                <w:sz w:val="24"/>
                <w:lang w:val="en-US" w:eastAsia="zh-CN"/>
              </w:rPr>
            </w:pPr>
            <w:r>
              <w:rPr>
                <w:rFonts w:hint="eastAsia"/>
                <w:sz w:val="24"/>
                <w:lang w:val="en-US" w:eastAsia="zh-CN"/>
              </w:rPr>
              <w:t>2022</w:t>
            </w:r>
          </w:p>
        </w:tc>
        <w:tc>
          <w:tcPr>
            <w:tcW w:w="7920" w:type="dxa"/>
            <w:noWrap w:val="0"/>
            <w:vAlign w:val="top"/>
          </w:tcPr>
          <w:p>
            <w:pPr>
              <w:jc w:val="left"/>
              <w:rPr>
                <w:rFonts w:hint="eastAsia" w:ascii="Times New Roman" w:hAnsi="Times New Roman" w:eastAsia="宋体" w:cs="Times New Roman"/>
                <w:sz w:val="24"/>
              </w:rPr>
            </w:pPr>
            <w:bookmarkStart w:id="0" w:name="_Hlk107567565"/>
            <w:r>
              <w:rPr>
                <w:rFonts w:hint="eastAsia" w:ascii="Times New Roman" w:hAnsi="Times New Roman" w:eastAsia="宋体" w:cs="Times New Roman"/>
                <w:sz w:val="24"/>
              </w:rPr>
              <w:t>礼乐素养培育和礼乐文化社会教育研究</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rFonts w:hint="eastAsia"/>
                <w:sz w:val="24"/>
              </w:rPr>
            </w:pPr>
            <w:r>
              <w:rPr>
                <w:rFonts w:hint="eastAsia"/>
                <w:sz w:val="24"/>
              </w:rPr>
              <w:t>2021</w:t>
            </w:r>
          </w:p>
        </w:tc>
        <w:tc>
          <w:tcPr>
            <w:tcW w:w="7920" w:type="dxa"/>
            <w:noWrap w:val="0"/>
            <w:vAlign w:val="top"/>
          </w:tcPr>
          <w:p>
            <w:pPr>
              <w:jc w:val="left"/>
              <w:rPr>
                <w:sz w:val="24"/>
              </w:rPr>
            </w:pPr>
            <w:r>
              <w:rPr>
                <w:sz w:val="24"/>
              </w:rPr>
              <w:t>新时代全面贯彻党的教育方针重大理论与实践研究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2021</w:t>
            </w:r>
          </w:p>
        </w:tc>
        <w:tc>
          <w:tcPr>
            <w:tcW w:w="7920" w:type="dxa"/>
            <w:noWrap w:val="0"/>
            <w:vAlign w:val="top"/>
          </w:tcPr>
          <w:p>
            <w:pPr>
              <w:jc w:val="left"/>
              <w:rPr>
                <w:sz w:val="24"/>
              </w:rPr>
            </w:pPr>
            <w:r>
              <w:rPr>
                <w:sz w:val="24"/>
              </w:rPr>
              <w:t>“大思政课”的理论与实践研究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2021</w:t>
            </w:r>
          </w:p>
        </w:tc>
        <w:tc>
          <w:tcPr>
            <w:tcW w:w="7920" w:type="dxa"/>
            <w:noWrap w:val="0"/>
            <w:vAlign w:val="top"/>
          </w:tcPr>
          <w:p>
            <w:pPr>
              <w:jc w:val="left"/>
              <w:rPr>
                <w:sz w:val="24"/>
              </w:rPr>
            </w:pPr>
            <w:r>
              <w:rPr>
                <w:sz w:val="24"/>
              </w:rPr>
              <w:t>新时代推进新文科建设的理论与实践研究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2021</w:t>
            </w:r>
          </w:p>
        </w:tc>
        <w:tc>
          <w:tcPr>
            <w:tcW w:w="7920" w:type="dxa"/>
            <w:noWrap w:val="0"/>
            <w:vAlign w:val="top"/>
          </w:tcPr>
          <w:p>
            <w:pPr>
              <w:jc w:val="left"/>
              <w:rPr>
                <w:sz w:val="24"/>
              </w:rPr>
            </w:pPr>
            <w:r>
              <w:rPr>
                <w:sz w:val="24"/>
              </w:rPr>
              <w:t>推动建设与“一国两制”相适应的港澳教育制度研究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2021</w:t>
            </w:r>
          </w:p>
        </w:tc>
        <w:tc>
          <w:tcPr>
            <w:tcW w:w="7920" w:type="dxa"/>
            <w:noWrap w:val="0"/>
            <w:vAlign w:val="top"/>
          </w:tcPr>
          <w:p>
            <w:pPr>
              <w:jc w:val="left"/>
              <w:rPr>
                <w:sz w:val="24"/>
              </w:rPr>
            </w:pPr>
            <w:r>
              <w:rPr>
                <w:sz w:val="24"/>
              </w:rPr>
              <w:t>新时代教育出版高质量发展研究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sz w:val="24"/>
              </w:rPr>
            </w:pPr>
            <w:r>
              <w:rPr>
                <w:rFonts w:hint="eastAsia"/>
                <w:sz w:val="24"/>
              </w:rPr>
              <w:t>2020</w:t>
            </w:r>
          </w:p>
        </w:tc>
        <w:tc>
          <w:tcPr>
            <w:tcW w:w="7920" w:type="dxa"/>
            <w:noWrap w:val="0"/>
            <w:vAlign w:val="top"/>
          </w:tcPr>
          <w:p>
            <w:pPr>
              <w:jc w:val="left"/>
              <w:rPr>
                <w:sz w:val="24"/>
              </w:rPr>
            </w:pPr>
            <w:r>
              <w:rPr>
                <w:sz w:val="24"/>
              </w:rPr>
              <w:t>中华优秀传统文化在语文教材中的传承研究与数据库建设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2020</w:t>
            </w:r>
          </w:p>
        </w:tc>
        <w:tc>
          <w:tcPr>
            <w:tcW w:w="7920" w:type="dxa"/>
            <w:noWrap w:val="0"/>
            <w:vAlign w:val="top"/>
          </w:tcPr>
          <w:p>
            <w:pPr>
              <w:jc w:val="left"/>
              <w:rPr>
                <w:sz w:val="24"/>
              </w:rPr>
            </w:pPr>
            <w:r>
              <w:rPr>
                <w:sz w:val="24"/>
              </w:rPr>
              <w:t>高校考试招生改革引导学生德智体美劳全面发展研究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2020</w:t>
            </w:r>
          </w:p>
        </w:tc>
        <w:tc>
          <w:tcPr>
            <w:tcW w:w="7920" w:type="dxa"/>
            <w:noWrap w:val="0"/>
            <w:vAlign w:val="top"/>
          </w:tcPr>
          <w:p>
            <w:pPr>
              <w:jc w:val="left"/>
              <w:rPr>
                <w:sz w:val="24"/>
              </w:rPr>
            </w:pPr>
            <w:r>
              <w:rPr>
                <w:sz w:val="24"/>
              </w:rPr>
              <w:t>我国博士生招生和培养规模结构质量问题研究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2020</w:t>
            </w:r>
          </w:p>
        </w:tc>
        <w:tc>
          <w:tcPr>
            <w:tcW w:w="7920" w:type="dxa"/>
            <w:noWrap w:val="0"/>
            <w:vAlign w:val="top"/>
          </w:tcPr>
          <w:p>
            <w:pPr>
              <w:jc w:val="left"/>
              <w:rPr>
                <w:sz w:val="24"/>
              </w:rPr>
            </w:pPr>
            <w:r>
              <w:rPr>
                <w:sz w:val="24"/>
              </w:rPr>
              <w:t>新时代学校体育美育改革发展研究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2020</w:t>
            </w:r>
          </w:p>
        </w:tc>
        <w:tc>
          <w:tcPr>
            <w:tcW w:w="7920" w:type="dxa"/>
            <w:noWrap w:val="0"/>
            <w:vAlign w:val="top"/>
          </w:tcPr>
          <w:p>
            <w:pPr>
              <w:jc w:val="left"/>
              <w:rPr>
                <w:sz w:val="24"/>
              </w:rPr>
            </w:pPr>
            <w:r>
              <w:rPr>
                <w:sz w:val="24"/>
              </w:rPr>
              <w:t>教育高质量发展评价指标体系研究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2020</w:t>
            </w:r>
          </w:p>
        </w:tc>
        <w:tc>
          <w:tcPr>
            <w:tcW w:w="7920" w:type="dxa"/>
            <w:noWrap w:val="0"/>
            <w:vAlign w:val="top"/>
          </w:tcPr>
          <w:p>
            <w:pPr>
              <w:jc w:val="left"/>
              <w:rPr>
                <w:sz w:val="24"/>
              </w:rPr>
            </w:pPr>
            <w:r>
              <w:rPr>
                <w:sz w:val="24"/>
              </w:rPr>
              <w:t>新时代基础教育财政体制与结构研究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2020</w:t>
            </w:r>
          </w:p>
        </w:tc>
        <w:tc>
          <w:tcPr>
            <w:tcW w:w="7920" w:type="dxa"/>
            <w:noWrap w:val="0"/>
            <w:vAlign w:val="top"/>
          </w:tcPr>
          <w:p>
            <w:pPr>
              <w:jc w:val="left"/>
              <w:rPr>
                <w:sz w:val="24"/>
              </w:rPr>
            </w:pPr>
            <w:r>
              <w:rPr>
                <w:sz w:val="24"/>
              </w:rPr>
              <w:t>职业教育专业建设与产业发展的谱系图研究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sz w:val="24"/>
              </w:rPr>
            </w:pPr>
            <w:r>
              <w:rPr>
                <w:rFonts w:hint="eastAsia"/>
                <w:sz w:val="24"/>
              </w:rPr>
              <w:t>2019</w:t>
            </w:r>
          </w:p>
        </w:tc>
        <w:tc>
          <w:tcPr>
            <w:tcW w:w="7920" w:type="dxa"/>
            <w:noWrap w:val="0"/>
            <w:vAlign w:val="top"/>
          </w:tcPr>
          <w:p>
            <w:pPr>
              <w:jc w:val="left"/>
              <w:rPr>
                <w:sz w:val="24"/>
              </w:rPr>
            </w:pPr>
            <w:r>
              <w:rPr>
                <w:sz w:val="24"/>
              </w:rPr>
              <w:t xml:space="preserve">教育凝聚人心完善人格开发人力培育人才造福人民工作目标研究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sz w:val="24"/>
              </w:rPr>
            </w:pPr>
            <w:r>
              <w:rPr>
                <w:rFonts w:hint="eastAsia"/>
                <w:sz w:val="24"/>
              </w:rPr>
              <w:t>2019</w:t>
            </w:r>
          </w:p>
        </w:tc>
        <w:tc>
          <w:tcPr>
            <w:tcW w:w="7920" w:type="dxa"/>
            <w:noWrap w:val="0"/>
            <w:vAlign w:val="top"/>
          </w:tcPr>
          <w:p>
            <w:pPr>
              <w:jc w:val="left"/>
              <w:rPr>
                <w:sz w:val="24"/>
              </w:rPr>
            </w:pPr>
            <w:r>
              <w:rPr>
                <w:sz w:val="24"/>
              </w:rPr>
              <w:t xml:space="preserve">构建德智体美劳全面培养的教育体系研究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sz w:val="24"/>
              </w:rPr>
            </w:pPr>
            <w:r>
              <w:rPr>
                <w:rFonts w:hint="eastAsia"/>
                <w:sz w:val="24"/>
              </w:rPr>
              <w:t>2019</w:t>
            </w:r>
          </w:p>
        </w:tc>
        <w:tc>
          <w:tcPr>
            <w:tcW w:w="7920" w:type="dxa"/>
            <w:noWrap w:val="0"/>
            <w:vAlign w:val="top"/>
          </w:tcPr>
          <w:p>
            <w:pPr>
              <w:jc w:val="left"/>
              <w:rPr>
                <w:sz w:val="24"/>
              </w:rPr>
            </w:pPr>
            <w:r>
              <w:rPr>
                <w:sz w:val="24"/>
              </w:rPr>
              <w:t>社会主义核心价值观更好融入大中小学课程教材研究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sz w:val="24"/>
              </w:rPr>
            </w:pPr>
            <w:r>
              <w:rPr>
                <w:rFonts w:hint="eastAsia"/>
                <w:sz w:val="24"/>
              </w:rPr>
              <w:t>2019</w:t>
            </w:r>
          </w:p>
        </w:tc>
        <w:tc>
          <w:tcPr>
            <w:tcW w:w="7920" w:type="dxa"/>
            <w:noWrap w:val="0"/>
            <w:vAlign w:val="top"/>
          </w:tcPr>
          <w:p>
            <w:pPr>
              <w:jc w:val="left"/>
              <w:rPr>
                <w:sz w:val="24"/>
              </w:rPr>
            </w:pPr>
            <w:r>
              <w:rPr>
                <w:sz w:val="24"/>
              </w:rPr>
              <w:t>中国共产党关于民族教育的理论与实践研究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sz w:val="24"/>
              </w:rPr>
            </w:pPr>
            <w:r>
              <w:rPr>
                <w:rFonts w:hint="eastAsia"/>
                <w:sz w:val="24"/>
              </w:rPr>
              <w:t>2019</w:t>
            </w:r>
          </w:p>
        </w:tc>
        <w:tc>
          <w:tcPr>
            <w:tcW w:w="7920" w:type="dxa"/>
            <w:noWrap w:val="0"/>
            <w:vAlign w:val="top"/>
          </w:tcPr>
          <w:p>
            <w:pPr>
              <w:jc w:val="left"/>
              <w:rPr>
                <w:sz w:val="24"/>
              </w:rPr>
            </w:pPr>
            <w:r>
              <w:rPr>
                <w:sz w:val="24"/>
              </w:rPr>
              <w:t>人口变动与教育资源配置研究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sz w:val="24"/>
              </w:rPr>
            </w:pPr>
            <w:r>
              <w:rPr>
                <w:rFonts w:hint="eastAsia"/>
                <w:sz w:val="24"/>
              </w:rPr>
              <w:t>2019</w:t>
            </w:r>
          </w:p>
        </w:tc>
        <w:tc>
          <w:tcPr>
            <w:tcW w:w="7920" w:type="dxa"/>
            <w:noWrap w:val="0"/>
            <w:vAlign w:val="top"/>
          </w:tcPr>
          <w:p>
            <w:pPr>
              <w:jc w:val="left"/>
              <w:rPr>
                <w:sz w:val="24"/>
              </w:rPr>
            </w:pPr>
            <w:r>
              <w:rPr>
                <w:sz w:val="24"/>
              </w:rPr>
              <w:t>非营利性民办学校办学模式创新研究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sz w:val="24"/>
              </w:rPr>
            </w:pPr>
            <w:r>
              <w:rPr>
                <w:rFonts w:hint="eastAsia"/>
                <w:sz w:val="24"/>
              </w:rPr>
              <w:t>2019</w:t>
            </w:r>
          </w:p>
        </w:tc>
        <w:tc>
          <w:tcPr>
            <w:tcW w:w="7920" w:type="dxa"/>
            <w:noWrap w:val="0"/>
            <w:vAlign w:val="top"/>
          </w:tcPr>
          <w:p>
            <w:pPr>
              <w:jc w:val="left"/>
              <w:rPr>
                <w:sz w:val="24"/>
              </w:rPr>
            </w:pPr>
            <w:r>
              <w:rPr>
                <w:sz w:val="24"/>
              </w:rPr>
              <w:t xml:space="preserve">“一带一路”国家与区域教育体系研究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sz w:val="24"/>
              </w:rPr>
            </w:pPr>
            <w:r>
              <w:rPr>
                <w:rFonts w:hint="eastAsia"/>
                <w:sz w:val="24"/>
              </w:rPr>
              <w:t>2019</w:t>
            </w:r>
          </w:p>
        </w:tc>
        <w:tc>
          <w:tcPr>
            <w:tcW w:w="7920" w:type="dxa"/>
            <w:noWrap w:val="0"/>
            <w:vAlign w:val="top"/>
          </w:tcPr>
          <w:p>
            <w:pPr>
              <w:jc w:val="left"/>
              <w:rPr>
                <w:rFonts w:hint="eastAsia"/>
                <w:sz w:val="24"/>
              </w:rPr>
            </w:pPr>
            <w:r>
              <w:rPr>
                <w:sz w:val="24"/>
              </w:rPr>
              <w:t>对“一带一路”沿线国家投资风险监测预警体系研究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rPr>
                <w:rFonts w:hint="eastAsia"/>
                <w:sz w:val="24"/>
              </w:rPr>
            </w:pPr>
            <w:r>
              <w:rPr>
                <w:rFonts w:hint="eastAsia"/>
                <w:sz w:val="24"/>
              </w:rPr>
              <w:t>2018</w:t>
            </w:r>
          </w:p>
        </w:tc>
        <w:tc>
          <w:tcPr>
            <w:tcW w:w="7920" w:type="dxa"/>
            <w:noWrap w:val="0"/>
            <w:vAlign w:val="top"/>
          </w:tcPr>
          <w:p>
            <w:pPr>
              <w:jc w:val="left"/>
              <w:rPr>
                <w:sz w:val="24"/>
              </w:rPr>
            </w:pPr>
            <w:r>
              <w:rPr>
                <w:sz w:val="24"/>
              </w:rPr>
              <w:t xml:space="preserve">加快教育现代化建设教育强国实施路径研究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2018</w:t>
            </w:r>
          </w:p>
        </w:tc>
        <w:tc>
          <w:tcPr>
            <w:tcW w:w="7920" w:type="dxa"/>
            <w:noWrap w:val="0"/>
            <w:vAlign w:val="top"/>
          </w:tcPr>
          <w:p>
            <w:pPr>
              <w:jc w:val="left"/>
              <w:rPr>
                <w:sz w:val="24"/>
              </w:rPr>
            </w:pPr>
            <w:r>
              <w:rPr>
                <w:sz w:val="24"/>
              </w:rPr>
              <w:t>加强高校思想政治工作体系建设培养社会主义建设者和接班人研究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2018</w:t>
            </w:r>
          </w:p>
        </w:tc>
        <w:tc>
          <w:tcPr>
            <w:tcW w:w="7920" w:type="dxa"/>
            <w:noWrap w:val="0"/>
            <w:vAlign w:val="top"/>
          </w:tcPr>
          <w:p>
            <w:pPr>
              <w:jc w:val="left"/>
              <w:rPr>
                <w:sz w:val="24"/>
              </w:rPr>
            </w:pPr>
            <w:r>
              <w:rPr>
                <w:sz w:val="24"/>
              </w:rPr>
              <w:t xml:space="preserve"> 我国高校“双一流”建设推进机制与成效评估研究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2018</w:t>
            </w:r>
          </w:p>
        </w:tc>
        <w:tc>
          <w:tcPr>
            <w:tcW w:w="7920" w:type="dxa"/>
            <w:noWrap w:val="0"/>
            <w:vAlign w:val="top"/>
          </w:tcPr>
          <w:p>
            <w:pPr>
              <w:jc w:val="left"/>
              <w:rPr>
                <w:sz w:val="24"/>
              </w:rPr>
            </w:pPr>
            <w:r>
              <w:rPr>
                <w:sz w:val="24"/>
              </w:rPr>
              <w:t>高考综合改革试点完善措施研究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2018</w:t>
            </w:r>
          </w:p>
        </w:tc>
        <w:tc>
          <w:tcPr>
            <w:tcW w:w="7920" w:type="dxa"/>
            <w:noWrap w:val="0"/>
            <w:vAlign w:val="top"/>
          </w:tcPr>
          <w:p>
            <w:pPr>
              <w:jc w:val="left"/>
              <w:rPr>
                <w:sz w:val="24"/>
              </w:rPr>
            </w:pPr>
            <w:r>
              <w:rPr>
                <w:sz w:val="24"/>
              </w:rPr>
              <w:t>中西部高校提升人才培养能力和办学水平研究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2018</w:t>
            </w:r>
          </w:p>
        </w:tc>
        <w:tc>
          <w:tcPr>
            <w:tcW w:w="7920" w:type="dxa"/>
            <w:noWrap w:val="0"/>
            <w:vAlign w:val="top"/>
          </w:tcPr>
          <w:p>
            <w:pPr>
              <w:jc w:val="left"/>
              <w:rPr>
                <w:sz w:val="24"/>
              </w:rPr>
            </w:pPr>
            <w:r>
              <w:rPr>
                <w:sz w:val="24"/>
              </w:rPr>
              <w:t>健全民族团结进步教育常态化机制研究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noWrap w:val="0"/>
            <w:vAlign w:val="top"/>
          </w:tcPr>
          <w:p>
            <w:pPr>
              <w:jc w:val="center"/>
            </w:pPr>
            <w:r>
              <w:rPr>
                <w:rFonts w:hint="eastAsia"/>
                <w:sz w:val="24"/>
              </w:rPr>
              <w:t>2018</w:t>
            </w:r>
          </w:p>
        </w:tc>
        <w:tc>
          <w:tcPr>
            <w:tcW w:w="7920" w:type="dxa"/>
            <w:noWrap w:val="0"/>
            <w:vAlign w:val="top"/>
          </w:tcPr>
          <w:p>
            <w:pPr>
              <w:jc w:val="left"/>
              <w:rPr>
                <w:rFonts w:hint="eastAsia"/>
                <w:sz w:val="24"/>
              </w:rPr>
            </w:pPr>
            <w:r>
              <w:rPr>
                <w:sz w:val="24"/>
              </w:rPr>
              <w:t>新时代加强教师队伍师德师风建设研究</w:t>
            </w:r>
          </w:p>
        </w:tc>
      </w:tr>
    </w:tbl>
    <w:p>
      <w:pPr>
        <w:jc w:val="center"/>
        <w:rPr>
          <w:rFonts w:hint="eastAsia"/>
          <w:sz w:val="44"/>
          <w:szCs w:val="44"/>
        </w:rPr>
      </w:pPr>
    </w:p>
    <w:sectPr>
      <w:footerReference r:id="rId3" w:type="default"/>
      <w:footerReference r:id="rId4" w:type="even"/>
      <w:pgSz w:w="11906" w:h="16838"/>
      <w:pgMar w:top="1304" w:right="1797" w:bottom="119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zMDNmZTU0Y2U2ODVjYzEwYzY1MzI0ZmUxMmQ1NzcifQ=="/>
  </w:docVars>
  <w:rsids>
    <w:rsidRoot w:val="004833A3"/>
    <w:rsid w:val="00000ECA"/>
    <w:rsid w:val="00001379"/>
    <w:rsid w:val="00006BAA"/>
    <w:rsid w:val="0000703C"/>
    <w:rsid w:val="0001038F"/>
    <w:rsid w:val="00012BDF"/>
    <w:rsid w:val="000144E5"/>
    <w:rsid w:val="00015AA3"/>
    <w:rsid w:val="00027CBD"/>
    <w:rsid w:val="00031E34"/>
    <w:rsid w:val="00037739"/>
    <w:rsid w:val="00045885"/>
    <w:rsid w:val="00046583"/>
    <w:rsid w:val="0004713B"/>
    <w:rsid w:val="000514F6"/>
    <w:rsid w:val="00053310"/>
    <w:rsid w:val="00056D57"/>
    <w:rsid w:val="000576DA"/>
    <w:rsid w:val="00062783"/>
    <w:rsid w:val="000659B8"/>
    <w:rsid w:val="00070216"/>
    <w:rsid w:val="0007248F"/>
    <w:rsid w:val="00072DCA"/>
    <w:rsid w:val="000747E1"/>
    <w:rsid w:val="00077290"/>
    <w:rsid w:val="000814C9"/>
    <w:rsid w:val="00081503"/>
    <w:rsid w:val="000828BD"/>
    <w:rsid w:val="000870BC"/>
    <w:rsid w:val="000921F1"/>
    <w:rsid w:val="00092F91"/>
    <w:rsid w:val="00095A92"/>
    <w:rsid w:val="000A114D"/>
    <w:rsid w:val="000A29FB"/>
    <w:rsid w:val="000A621C"/>
    <w:rsid w:val="000A78FA"/>
    <w:rsid w:val="000A7C5C"/>
    <w:rsid w:val="000B6A88"/>
    <w:rsid w:val="000C6CA8"/>
    <w:rsid w:val="000C7053"/>
    <w:rsid w:val="000D33CC"/>
    <w:rsid w:val="000E0D22"/>
    <w:rsid w:val="000E25FD"/>
    <w:rsid w:val="000E5F0E"/>
    <w:rsid w:val="000E76B1"/>
    <w:rsid w:val="000F0BBD"/>
    <w:rsid w:val="000F3D7C"/>
    <w:rsid w:val="00113312"/>
    <w:rsid w:val="00114728"/>
    <w:rsid w:val="0011479F"/>
    <w:rsid w:val="00115D12"/>
    <w:rsid w:val="00122A84"/>
    <w:rsid w:val="00122DA0"/>
    <w:rsid w:val="00125D33"/>
    <w:rsid w:val="001262D6"/>
    <w:rsid w:val="00145C8B"/>
    <w:rsid w:val="001520C9"/>
    <w:rsid w:val="00153E72"/>
    <w:rsid w:val="00156136"/>
    <w:rsid w:val="001630A3"/>
    <w:rsid w:val="00163628"/>
    <w:rsid w:val="00165537"/>
    <w:rsid w:val="00174F49"/>
    <w:rsid w:val="001767DD"/>
    <w:rsid w:val="00177042"/>
    <w:rsid w:val="0018069F"/>
    <w:rsid w:val="001841F1"/>
    <w:rsid w:val="00184D8B"/>
    <w:rsid w:val="001855DE"/>
    <w:rsid w:val="001909EC"/>
    <w:rsid w:val="00191CC0"/>
    <w:rsid w:val="001A5183"/>
    <w:rsid w:val="001B1915"/>
    <w:rsid w:val="001B6AF1"/>
    <w:rsid w:val="001C2B26"/>
    <w:rsid w:val="001C3310"/>
    <w:rsid w:val="001C3B33"/>
    <w:rsid w:val="001C4150"/>
    <w:rsid w:val="001C774B"/>
    <w:rsid w:val="001D23DD"/>
    <w:rsid w:val="001D6237"/>
    <w:rsid w:val="001E3526"/>
    <w:rsid w:val="001E6BAB"/>
    <w:rsid w:val="001E6BFC"/>
    <w:rsid w:val="001F052D"/>
    <w:rsid w:val="001F0995"/>
    <w:rsid w:val="002032AF"/>
    <w:rsid w:val="0020575A"/>
    <w:rsid w:val="0020630F"/>
    <w:rsid w:val="00207FC6"/>
    <w:rsid w:val="002111AB"/>
    <w:rsid w:val="002118CF"/>
    <w:rsid w:val="00211E01"/>
    <w:rsid w:val="0022207A"/>
    <w:rsid w:val="00222530"/>
    <w:rsid w:val="00223D15"/>
    <w:rsid w:val="00227453"/>
    <w:rsid w:val="0022796D"/>
    <w:rsid w:val="00234A8C"/>
    <w:rsid w:val="002431B4"/>
    <w:rsid w:val="00252DFC"/>
    <w:rsid w:val="0025496B"/>
    <w:rsid w:val="00267400"/>
    <w:rsid w:val="00270C21"/>
    <w:rsid w:val="00272C25"/>
    <w:rsid w:val="00276E47"/>
    <w:rsid w:val="00284A96"/>
    <w:rsid w:val="0028531D"/>
    <w:rsid w:val="00285347"/>
    <w:rsid w:val="00286E8E"/>
    <w:rsid w:val="00290F1F"/>
    <w:rsid w:val="0029351A"/>
    <w:rsid w:val="00293A33"/>
    <w:rsid w:val="002947CA"/>
    <w:rsid w:val="002961B6"/>
    <w:rsid w:val="002A44B0"/>
    <w:rsid w:val="002B251F"/>
    <w:rsid w:val="002C27B1"/>
    <w:rsid w:val="002C7A3A"/>
    <w:rsid w:val="002D017C"/>
    <w:rsid w:val="002D17E8"/>
    <w:rsid w:val="002E0B5E"/>
    <w:rsid w:val="002E4E2B"/>
    <w:rsid w:val="002E5C7A"/>
    <w:rsid w:val="002F006D"/>
    <w:rsid w:val="002F3EC4"/>
    <w:rsid w:val="0030054C"/>
    <w:rsid w:val="00305CEC"/>
    <w:rsid w:val="00315755"/>
    <w:rsid w:val="003251A4"/>
    <w:rsid w:val="00327A02"/>
    <w:rsid w:val="00333BC0"/>
    <w:rsid w:val="0033482D"/>
    <w:rsid w:val="0033519B"/>
    <w:rsid w:val="0033565A"/>
    <w:rsid w:val="0033674A"/>
    <w:rsid w:val="003407D3"/>
    <w:rsid w:val="00340F01"/>
    <w:rsid w:val="003425F5"/>
    <w:rsid w:val="0034589D"/>
    <w:rsid w:val="00347D01"/>
    <w:rsid w:val="0035535C"/>
    <w:rsid w:val="00357E68"/>
    <w:rsid w:val="00363372"/>
    <w:rsid w:val="003649D9"/>
    <w:rsid w:val="00364A10"/>
    <w:rsid w:val="00365F8E"/>
    <w:rsid w:val="00367795"/>
    <w:rsid w:val="00384005"/>
    <w:rsid w:val="00390981"/>
    <w:rsid w:val="00391684"/>
    <w:rsid w:val="00396930"/>
    <w:rsid w:val="003A1119"/>
    <w:rsid w:val="003A6914"/>
    <w:rsid w:val="003B1F01"/>
    <w:rsid w:val="003B4BCA"/>
    <w:rsid w:val="003D1319"/>
    <w:rsid w:val="003D4CEF"/>
    <w:rsid w:val="003D6F64"/>
    <w:rsid w:val="003E372D"/>
    <w:rsid w:val="003E6904"/>
    <w:rsid w:val="003F0163"/>
    <w:rsid w:val="0040033B"/>
    <w:rsid w:val="004004E1"/>
    <w:rsid w:val="00402893"/>
    <w:rsid w:val="00404F62"/>
    <w:rsid w:val="00406770"/>
    <w:rsid w:val="00412244"/>
    <w:rsid w:val="0041462E"/>
    <w:rsid w:val="0041591E"/>
    <w:rsid w:val="00416AA4"/>
    <w:rsid w:val="00417C00"/>
    <w:rsid w:val="0042049D"/>
    <w:rsid w:val="00421B1D"/>
    <w:rsid w:val="0042509F"/>
    <w:rsid w:val="004267F7"/>
    <w:rsid w:val="00430A18"/>
    <w:rsid w:val="00433827"/>
    <w:rsid w:val="00445801"/>
    <w:rsid w:val="004461ED"/>
    <w:rsid w:val="00446915"/>
    <w:rsid w:val="00446BF3"/>
    <w:rsid w:val="0044775B"/>
    <w:rsid w:val="004556F2"/>
    <w:rsid w:val="0046185C"/>
    <w:rsid w:val="00462FF9"/>
    <w:rsid w:val="00465C28"/>
    <w:rsid w:val="00480D48"/>
    <w:rsid w:val="00482A75"/>
    <w:rsid w:val="004833A3"/>
    <w:rsid w:val="00483E41"/>
    <w:rsid w:val="004848CE"/>
    <w:rsid w:val="0048771C"/>
    <w:rsid w:val="00494A44"/>
    <w:rsid w:val="004A062D"/>
    <w:rsid w:val="004A43BE"/>
    <w:rsid w:val="004A52F8"/>
    <w:rsid w:val="004B1AE6"/>
    <w:rsid w:val="004B242A"/>
    <w:rsid w:val="004B2D89"/>
    <w:rsid w:val="004B2D96"/>
    <w:rsid w:val="004B4C1E"/>
    <w:rsid w:val="004B4D2D"/>
    <w:rsid w:val="004B56CB"/>
    <w:rsid w:val="004C01D1"/>
    <w:rsid w:val="004C1CB3"/>
    <w:rsid w:val="004C20AD"/>
    <w:rsid w:val="004C46B1"/>
    <w:rsid w:val="004C6562"/>
    <w:rsid w:val="004D1E28"/>
    <w:rsid w:val="004D379B"/>
    <w:rsid w:val="004D5D77"/>
    <w:rsid w:val="004E0B53"/>
    <w:rsid w:val="004E16DA"/>
    <w:rsid w:val="004E1F56"/>
    <w:rsid w:val="004E5078"/>
    <w:rsid w:val="004E52DC"/>
    <w:rsid w:val="004E5529"/>
    <w:rsid w:val="004E79BD"/>
    <w:rsid w:val="004F2E59"/>
    <w:rsid w:val="004F555F"/>
    <w:rsid w:val="005101FC"/>
    <w:rsid w:val="00522311"/>
    <w:rsid w:val="005237CC"/>
    <w:rsid w:val="005244BA"/>
    <w:rsid w:val="00533445"/>
    <w:rsid w:val="0053481C"/>
    <w:rsid w:val="005400EC"/>
    <w:rsid w:val="005416AB"/>
    <w:rsid w:val="00544C87"/>
    <w:rsid w:val="00545F32"/>
    <w:rsid w:val="00550CEB"/>
    <w:rsid w:val="00557BCE"/>
    <w:rsid w:val="00561DB0"/>
    <w:rsid w:val="00561FFD"/>
    <w:rsid w:val="00563923"/>
    <w:rsid w:val="00564AC9"/>
    <w:rsid w:val="0056535A"/>
    <w:rsid w:val="00566935"/>
    <w:rsid w:val="00567A4B"/>
    <w:rsid w:val="00570DAA"/>
    <w:rsid w:val="005725E8"/>
    <w:rsid w:val="00593EA7"/>
    <w:rsid w:val="005A2517"/>
    <w:rsid w:val="005A3F33"/>
    <w:rsid w:val="005A474E"/>
    <w:rsid w:val="005A57F1"/>
    <w:rsid w:val="005B36C7"/>
    <w:rsid w:val="005B3FA3"/>
    <w:rsid w:val="005C44BE"/>
    <w:rsid w:val="005D0DB6"/>
    <w:rsid w:val="005D3BC1"/>
    <w:rsid w:val="005E0695"/>
    <w:rsid w:val="005E10CC"/>
    <w:rsid w:val="005E2D23"/>
    <w:rsid w:val="005E33DF"/>
    <w:rsid w:val="005E4757"/>
    <w:rsid w:val="005E7D0E"/>
    <w:rsid w:val="005F130B"/>
    <w:rsid w:val="005F2A4A"/>
    <w:rsid w:val="00600F94"/>
    <w:rsid w:val="00601C7A"/>
    <w:rsid w:val="006044A4"/>
    <w:rsid w:val="00605F3C"/>
    <w:rsid w:val="00613CF1"/>
    <w:rsid w:val="006154D6"/>
    <w:rsid w:val="0061720D"/>
    <w:rsid w:val="00617C74"/>
    <w:rsid w:val="00620ABF"/>
    <w:rsid w:val="00621FEE"/>
    <w:rsid w:val="00625C63"/>
    <w:rsid w:val="00625F4D"/>
    <w:rsid w:val="00626DD7"/>
    <w:rsid w:val="00627B8A"/>
    <w:rsid w:val="0063061D"/>
    <w:rsid w:val="00632D41"/>
    <w:rsid w:val="00632D9D"/>
    <w:rsid w:val="006400B4"/>
    <w:rsid w:val="00645531"/>
    <w:rsid w:val="00650E80"/>
    <w:rsid w:val="00651956"/>
    <w:rsid w:val="00671F42"/>
    <w:rsid w:val="006729C8"/>
    <w:rsid w:val="00672F13"/>
    <w:rsid w:val="0068211A"/>
    <w:rsid w:val="00683E22"/>
    <w:rsid w:val="00684575"/>
    <w:rsid w:val="0069372E"/>
    <w:rsid w:val="006942CF"/>
    <w:rsid w:val="006B07ED"/>
    <w:rsid w:val="006B0F93"/>
    <w:rsid w:val="006B193C"/>
    <w:rsid w:val="006B4ED8"/>
    <w:rsid w:val="006B7892"/>
    <w:rsid w:val="006C1FAC"/>
    <w:rsid w:val="006C6162"/>
    <w:rsid w:val="006C7055"/>
    <w:rsid w:val="006D5A8C"/>
    <w:rsid w:val="006E1890"/>
    <w:rsid w:val="006E2F1D"/>
    <w:rsid w:val="006E42E6"/>
    <w:rsid w:val="006F0AAD"/>
    <w:rsid w:val="006F6928"/>
    <w:rsid w:val="00705DFE"/>
    <w:rsid w:val="007104F1"/>
    <w:rsid w:val="00710928"/>
    <w:rsid w:val="00714C59"/>
    <w:rsid w:val="0072176C"/>
    <w:rsid w:val="0072413F"/>
    <w:rsid w:val="00726289"/>
    <w:rsid w:val="00731DE9"/>
    <w:rsid w:val="0073258C"/>
    <w:rsid w:val="00736817"/>
    <w:rsid w:val="007446C8"/>
    <w:rsid w:val="00745AF2"/>
    <w:rsid w:val="00746BB0"/>
    <w:rsid w:val="00746BBC"/>
    <w:rsid w:val="007514FA"/>
    <w:rsid w:val="0075362E"/>
    <w:rsid w:val="00754D12"/>
    <w:rsid w:val="00757ADA"/>
    <w:rsid w:val="00757CF1"/>
    <w:rsid w:val="00757F14"/>
    <w:rsid w:val="0076039F"/>
    <w:rsid w:val="0076074D"/>
    <w:rsid w:val="00764CDF"/>
    <w:rsid w:val="00767C42"/>
    <w:rsid w:val="00770B51"/>
    <w:rsid w:val="0078023B"/>
    <w:rsid w:val="00782877"/>
    <w:rsid w:val="0079151A"/>
    <w:rsid w:val="00791F0F"/>
    <w:rsid w:val="007A5D46"/>
    <w:rsid w:val="007A7FA0"/>
    <w:rsid w:val="007B0ACB"/>
    <w:rsid w:val="007B5A65"/>
    <w:rsid w:val="007D47DE"/>
    <w:rsid w:val="007E365F"/>
    <w:rsid w:val="007E37B2"/>
    <w:rsid w:val="007E3DB2"/>
    <w:rsid w:val="007F52FB"/>
    <w:rsid w:val="00802C69"/>
    <w:rsid w:val="0080371D"/>
    <w:rsid w:val="00811C7B"/>
    <w:rsid w:val="00813049"/>
    <w:rsid w:val="008131B2"/>
    <w:rsid w:val="008142FC"/>
    <w:rsid w:val="008204FD"/>
    <w:rsid w:val="0082718B"/>
    <w:rsid w:val="0084139B"/>
    <w:rsid w:val="00841E2C"/>
    <w:rsid w:val="00847238"/>
    <w:rsid w:val="00847501"/>
    <w:rsid w:val="008607D2"/>
    <w:rsid w:val="00871696"/>
    <w:rsid w:val="0087294C"/>
    <w:rsid w:val="008829D5"/>
    <w:rsid w:val="0088412F"/>
    <w:rsid w:val="00884306"/>
    <w:rsid w:val="0088676F"/>
    <w:rsid w:val="008A5106"/>
    <w:rsid w:val="008A5A76"/>
    <w:rsid w:val="008A62BA"/>
    <w:rsid w:val="008B5875"/>
    <w:rsid w:val="008C2E62"/>
    <w:rsid w:val="008C39A4"/>
    <w:rsid w:val="008C4AD6"/>
    <w:rsid w:val="008C4E11"/>
    <w:rsid w:val="008D0B67"/>
    <w:rsid w:val="008D608F"/>
    <w:rsid w:val="008E1661"/>
    <w:rsid w:val="008F0AB3"/>
    <w:rsid w:val="008F6AE1"/>
    <w:rsid w:val="008F7E98"/>
    <w:rsid w:val="00901E14"/>
    <w:rsid w:val="00902988"/>
    <w:rsid w:val="00902C47"/>
    <w:rsid w:val="009066D5"/>
    <w:rsid w:val="009076DB"/>
    <w:rsid w:val="00916A6E"/>
    <w:rsid w:val="009208AD"/>
    <w:rsid w:val="00927329"/>
    <w:rsid w:val="00931370"/>
    <w:rsid w:val="00934C64"/>
    <w:rsid w:val="009422D1"/>
    <w:rsid w:val="009429BE"/>
    <w:rsid w:val="00943212"/>
    <w:rsid w:val="009443D0"/>
    <w:rsid w:val="009458DC"/>
    <w:rsid w:val="00953E8F"/>
    <w:rsid w:val="009550CB"/>
    <w:rsid w:val="009665EB"/>
    <w:rsid w:val="009747BE"/>
    <w:rsid w:val="00974E3D"/>
    <w:rsid w:val="0097683B"/>
    <w:rsid w:val="0098172A"/>
    <w:rsid w:val="00984509"/>
    <w:rsid w:val="009847B8"/>
    <w:rsid w:val="0098631C"/>
    <w:rsid w:val="0098658A"/>
    <w:rsid w:val="009921B6"/>
    <w:rsid w:val="009958DD"/>
    <w:rsid w:val="009A0AEC"/>
    <w:rsid w:val="009A4E99"/>
    <w:rsid w:val="009A6378"/>
    <w:rsid w:val="009A6F4F"/>
    <w:rsid w:val="009B3173"/>
    <w:rsid w:val="009B4560"/>
    <w:rsid w:val="009B6250"/>
    <w:rsid w:val="009C57C6"/>
    <w:rsid w:val="009D1704"/>
    <w:rsid w:val="009D75D5"/>
    <w:rsid w:val="009E51DE"/>
    <w:rsid w:val="009F1371"/>
    <w:rsid w:val="009F5556"/>
    <w:rsid w:val="00A12953"/>
    <w:rsid w:val="00A14A95"/>
    <w:rsid w:val="00A157CD"/>
    <w:rsid w:val="00A24505"/>
    <w:rsid w:val="00A25FD1"/>
    <w:rsid w:val="00A26343"/>
    <w:rsid w:val="00A26A6F"/>
    <w:rsid w:val="00A33AE4"/>
    <w:rsid w:val="00A452F6"/>
    <w:rsid w:val="00A50A0A"/>
    <w:rsid w:val="00A549BA"/>
    <w:rsid w:val="00A5584E"/>
    <w:rsid w:val="00A614AF"/>
    <w:rsid w:val="00A63196"/>
    <w:rsid w:val="00A65CCF"/>
    <w:rsid w:val="00A72C78"/>
    <w:rsid w:val="00A7525F"/>
    <w:rsid w:val="00A75666"/>
    <w:rsid w:val="00A774EB"/>
    <w:rsid w:val="00A806EC"/>
    <w:rsid w:val="00A84E97"/>
    <w:rsid w:val="00A85484"/>
    <w:rsid w:val="00A8775B"/>
    <w:rsid w:val="00A9421C"/>
    <w:rsid w:val="00A95536"/>
    <w:rsid w:val="00A97ADA"/>
    <w:rsid w:val="00AA054B"/>
    <w:rsid w:val="00AA65C3"/>
    <w:rsid w:val="00AB2110"/>
    <w:rsid w:val="00AB3D5F"/>
    <w:rsid w:val="00AB7371"/>
    <w:rsid w:val="00AC133B"/>
    <w:rsid w:val="00AC29FD"/>
    <w:rsid w:val="00AC4968"/>
    <w:rsid w:val="00AC73FD"/>
    <w:rsid w:val="00AD6678"/>
    <w:rsid w:val="00AD6796"/>
    <w:rsid w:val="00AE188D"/>
    <w:rsid w:val="00AE6476"/>
    <w:rsid w:val="00AF3A35"/>
    <w:rsid w:val="00B01DB9"/>
    <w:rsid w:val="00B03DDE"/>
    <w:rsid w:val="00B13102"/>
    <w:rsid w:val="00B21E8F"/>
    <w:rsid w:val="00B25F7A"/>
    <w:rsid w:val="00B31D1D"/>
    <w:rsid w:val="00B33AA1"/>
    <w:rsid w:val="00B42071"/>
    <w:rsid w:val="00B464A6"/>
    <w:rsid w:val="00B5673A"/>
    <w:rsid w:val="00B5722D"/>
    <w:rsid w:val="00B64220"/>
    <w:rsid w:val="00B65903"/>
    <w:rsid w:val="00B7149A"/>
    <w:rsid w:val="00B923EB"/>
    <w:rsid w:val="00B92F5D"/>
    <w:rsid w:val="00B93E10"/>
    <w:rsid w:val="00B9410A"/>
    <w:rsid w:val="00B9516E"/>
    <w:rsid w:val="00BA2EC3"/>
    <w:rsid w:val="00BB0DCD"/>
    <w:rsid w:val="00BB116D"/>
    <w:rsid w:val="00BB3843"/>
    <w:rsid w:val="00BB3FD3"/>
    <w:rsid w:val="00BB592D"/>
    <w:rsid w:val="00BB72B6"/>
    <w:rsid w:val="00BC1503"/>
    <w:rsid w:val="00BC7AC0"/>
    <w:rsid w:val="00BD6722"/>
    <w:rsid w:val="00BE6CE1"/>
    <w:rsid w:val="00BF041E"/>
    <w:rsid w:val="00BF2807"/>
    <w:rsid w:val="00BF38B2"/>
    <w:rsid w:val="00BF3FDE"/>
    <w:rsid w:val="00BF5546"/>
    <w:rsid w:val="00BF6802"/>
    <w:rsid w:val="00BF6CCE"/>
    <w:rsid w:val="00C033D8"/>
    <w:rsid w:val="00C03B85"/>
    <w:rsid w:val="00C03E33"/>
    <w:rsid w:val="00C049B8"/>
    <w:rsid w:val="00C17196"/>
    <w:rsid w:val="00C20EC8"/>
    <w:rsid w:val="00C234A5"/>
    <w:rsid w:val="00C24833"/>
    <w:rsid w:val="00C269CA"/>
    <w:rsid w:val="00C30C9F"/>
    <w:rsid w:val="00C32693"/>
    <w:rsid w:val="00C35340"/>
    <w:rsid w:val="00C37BAA"/>
    <w:rsid w:val="00C40104"/>
    <w:rsid w:val="00C46938"/>
    <w:rsid w:val="00C474F4"/>
    <w:rsid w:val="00C50B46"/>
    <w:rsid w:val="00C54D59"/>
    <w:rsid w:val="00C57232"/>
    <w:rsid w:val="00C71A37"/>
    <w:rsid w:val="00C76128"/>
    <w:rsid w:val="00C84F55"/>
    <w:rsid w:val="00C87F76"/>
    <w:rsid w:val="00C90415"/>
    <w:rsid w:val="00C9043F"/>
    <w:rsid w:val="00C92562"/>
    <w:rsid w:val="00C951B6"/>
    <w:rsid w:val="00CA2D85"/>
    <w:rsid w:val="00CA6F4C"/>
    <w:rsid w:val="00CB61B2"/>
    <w:rsid w:val="00CC06BB"/>
    <w:rsid w:val="00CC0DE9"/>
    <w:rsid w:val="00CC1F22"/>
    <w:rsid w:val="00CC665F"/>
    <w:rsid w:val="00CE66E9"/>
    <w:rsid w:val="00CF03E3"/>
    <w:rsid w:val="00CF080A"/>
    <w:rsid w:val="00D0088A"/>
    <w:rsid w:val="00D01AA4"/>
    <w:rsid w:val="00D04760"/>
    <w:rsid w:val="00D05629"/>
    <w:rsid w:val="00D05ECD"/>
    <w:rsid w:val="00D0784F"/>
    <w:rsid w:val="00D11B1F"/>
    <w:rsid w:val="00D22148"/>
    <w:rsid w:val="00D2306B"/>
    <w:rsid w:val="00D32972"/>
    <w:rsid w:val="00D43E0D"/>
    <w:rsid w:val="00D448EC"/>
    <w:rsid w:val="00D4519F"/>
    <w:rsid w:val="00D529EE"/>
    <w:rsid w:val="00D5349A"/>
    <w:rsid w:val="00D55EB9"/>
    <w:rsid w:val="00D6209E"/>
    <w:rsid w:val="00D671BB"/>
    <w:rsid w:val="00D6767D"/>
    <w:rsid w:val="00D75CF9"/>
    <w:rsid w:val="00D80048"/>
    <w:rsid w:val="00D800B7"/>
    <w:rsid w:val="00D83621"/>
    <w:rsid w:val="00D87727"/>
    <w:rsid w:val="00D91558"/>
    <w:rsid w:val="00D92339"/>
    <w:rsid w:val="00D92C3C"/>
    <w:rsid w:val="00DA00ED"/>
    <w:rsid w:val="00DA252D"/>
    <w:rsid w:val="00DA7819"/>
    <w:rsid w:val="00DB01CA"/>
    <w:rsid w:val="00DB6E13"/>
    <w:rsid w:val="00DC2042"/>
    <w:rsid w:val="00DC3DAF"/>
    <w:rsid w:val="00DD22C6"/>
    <w:rsid w:val="00DD2917"/>
    <w:rsid w:val="00DD5B15"/>
    <w:rsid w:val="00DD5E95"/>
    <w:rsid w:val="00DE0850"/>
    <w:rsid w:val="00DE0DAE"/>
    <w:rsid w:val="00DE180D"/>
    <w:rsid w:val="00DF0A82"/>
    <w:rsid w:val="00E1155A"/>
    <w:rsid w:val="00E11C2F"/>
    <w:rsid w:val="00E14886"/>
    <w:rsid w:val="00E1682C"/>
    <w:rsid w:val="00E2317F"/>
    <w:rsid w:val="00E239E0"/>
    <w:rsid w:val="00E24798"/>
    <w:rsid w:val="00E2604B"/>
    <w:rsid w:val="00E2663C"/>
    <w:rsid w:val="00E31C92"/>
    <w:rsid w:val="00E3227B"/>
    <w:rsid w:val="00E3257D"/>
    <w:rsid w:val="00E32CD7"/>
    <w:rsid w:val="00E45103"/>
    <w:rsid w:val="00E5253C"/>
    <w:rsid w:val="00E534D8"/>
    <w:rsid w:val="00E53884"/>
    <w:rsid w:val="00E618B5"/>
    <w:rsid w:val="00E7174C"/>
    <w:rsid w:val="00E7229F"/>
    <w:rsid w:val="00E7539A"/>
    <w:rsid w:val="00E77DCA"/>
    <w:rsid w:val="00E806C2"/>
    <w:rsid w:val="00E8248D"/>
    <w:rsid w:val="00E87414"/>
    <w:rsid w:val="00EA2060"/>
    <w:rsid w:val="00EA2DA6"/>
    <w:rsid w:val="00EA6713"/>
    <w:rsid w:val="00EA6A5E"/>
    <w:rsid w:val="00EA7F12"/>
    <w:rsid w:val="00EC2ED7"/>
    <w:rsid w:val="00EC3D07"/>
    <w:rsid w:val="00EC48FC"/>
    <w:rsid w:val="00EC4DE4"/>
    <w:rsid w:val="00EC591D"/>
    <w:rsid w:val="00EC6AF5"/>
    <w:rsid w:val="00EC6CDC"/>
    <w:rsid w:val="00EC712F"/>
    <w:rsid w:val="00ED1C8E"/>
    <w:rsid w:val="00ED64BD"/>
    <w:rsid w:val="00EF06B5"/>
    <w:rsid w:val="00EF4166"/>
    <w:rsid w:val="00EF660B"/>
    <w:rsid w:val="00EF6D61"/>
    <w:rsid w:val="00F008E4"/>
    <w:rsid w:val="00F02A35"/>
    <w:rsid w:val="00F034F2"/>
    <w:rsid w:val="00F0552B"/>
    <w:rsid w:val="00F155C9"/>
    <w:rsid w:val="00F23E7E"/>
    <w:rsid w:val="00F246BD"/>
    <w:rsid w:val="00F274DA"/>
    <w:rsid w:val="00F45694"/>
    <w:rsid w:val="00F478C5"/>
    <w:rsid w:val="00F61254"/>
    <w:rsid w:val="00F6303B"/>
    <w:rsid w:val="00F64AFB"/>
    <w:rsid w:val="00F67318"/>
    <w:rsid w:val="00F75123"/>
    <w:rsid w:val="00F76C2D"/>
    <w:rsid w:val="00F85372"/>
    <w:rsid w:val="00F97C32"/>
    <w:rsid w:val="00FA211A"/>
    <w:rsid w:val="00FA427A"/>
    <w:rsid w:val="00FA7050"/>
    <w:rsid w:val="00FA79BC"/>
    <w:rsid w:val="00FB0F2E"/>
    <w:rsid w:val="00FB2247"/>
    <w:rsid w:val="00FB727A"/>
    <w:rsid w:val="00FC6FC0"/>
    <w:rsid w:val="00FC7B9F"/>
    <w:rsid w:val="00FE14B2"/>
    <w:rsid w:val="00FE1A9E"/>
    <w:rsid w:val="00FE2DB2"/>
    <w:rsid w:val="00FE5201"/>
    <w:rsid w:val="00FE5AB7"/>
    <w:rsid w:val="00FE6DDB"/>
    <w:rsid w:val="00FF0562"/>
    <w:rsid w:val="00FF2382"/>
    <w:rsid w:val="00FF3C9E"/>
    <w:rsid w:val="00FF623B"/>
    <w:rsid w:val="33520BCE"/>
    <w:rsid w:val="34B9350C"/>
    <w:rsid w:val="39FC4FB8"/>
    <w:rsid w:val="51FA302C"/>
    <w:rsid w:val="5C8C7256"/>
    <w:rsid w:val="6B9F4749"/>
    <w:rsid w:val="71E116BB"/>
    <w:rsid w:val="7B4C0343"/>
    <w:rsid w:val="7EE90D1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5">
    <w:name w:val="footnote text"/>
    <w:basedOn w:val="1"/>
    <w:semiHidden/>
    <w:uiPriority w:val="0"/>
    <w:pPr>
      <w:snapToGrid w:val="0"/>
      <w:jc w:val="left"/>
    </w:pPr>
    <w:rPr>
      <w:sz w:val="18"/>
      <w:szCs w:val="18"/>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uiPriority w:val="0"/>
  </w:style>
  <w:style w:type="character" w:styleId="10">
    <w:name w:val="footnote reference"/>
    <w:semiHidden/>
    <w:uiPriority w:val="0"/>
    <w:rPr>
      <w:vertAlign w:val="superscript"/>
    </w:rPr>
  </w:style>
  <w:style w:type="character" w:customStyle="1" w:styleId="11">
    <w:name w:val="页眉 Char"/>
    <w:link w:val="4"/>
    <w:uiPriority w:val="0"/>
    <w:rPr>
      <w:kern w:val="2"/>
      <w:sz w:val="18"/>
      <w:szCs w:val="18"/>
    </w:rPr>
  </w:style>
  <w:style w:type="paragraph" w:styleId="12">
    <w:name w:val="List Paragraph"/>
    <w:basedOn w:val="1"/>
    <w:uiPriority w:val="99"/>
    <w:pPr>
      <w:ind w:firstLine="420" w:firstLineChars="200"/>
    </w:pPr>
    <w:rPr>
      <w:rFonts w:ascii="等线" w:hAnsi="等线" w:eastAsia="等线"/>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Dell</Company>
  <Pages>5</Pages>
  <Words>2730</Words>
  <Characters>3151</Characters>
  <Lines>21</Lines>
  <Paragraphs>6</Paragraphs>
  <TotalTime>0</TotalTime>
  <ScaleCrop>false</ScaleCrop>
  <LinksUpToDate>false</LinksUpToDate>
  <CharactersWithSpaces>3158</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2015-04-28T02:42:00Z</dcterms:created>
  <dc:creator>Preferred Customer</dc:creator>
  <cp:lastModifiedBy>小皮皮</cp:lastModifiedBy>
  <cp:lastPrinted>2021-12-20T07:43:00Z</cp:lastPrinted>
  <dcterms:modified xsi:type="dcterms:W3CDTF">2022-10-31T02:40:32Z</dcterms:modified>
  <dc:title>附件：</dc:title>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E742744CDE304007A703A05261F7074D</vt:lpwstr>
  </property>
</Properties>
</file>