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1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before="13" w:line="219" w:lineRule="auto"/>
        <w:ind w:left="20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1"/>
          <w:sz w:val="46"/>
          <w:szCs w:val="46"/>
        </w:rPr>
        <w:t>雄安新区“揭榜挂帅”研究课题选题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98" w:line="318" w:lineRule="auto"/>
        <w:ind w:left="1179" w:right="1888"/>
        <w:rPr>
          <w:sz w:val="30"/>
          <w:szCs w:val="30"/>
        </w:rPr>
      </w:pPr>
      <w:r>
        <w:rPr>
          <w:spacing w:val="3"/>
          <w:sz w:val="30"/>
          <w:szCs w:val="30"/>
        </w:rPr>
        <w:t>1.以高水平管理推进雄安新区城市治理现代化研究</w:t>
      </w:r>
      <w:r>
        <w:rPr>
          <w:spacing w:val="2"/>
          <w:sz w:val="30"/>
          <w:szCs w:val="30"/>
        </w:rPr>
        <w:t xml:space="preserve"> 2.高质量打造新时代改革地标和开放高地研究</w:t>
      </w:r>
    </w:p>
    <w:p>
      <w:pPr>
        <w:pStyle w:val="2"/>
        <w:spacing w:before="49" w:line="223" w:lineRule="auto"/>
        <w:ind w:left="1179"/>
        <w:rPr>
          <w:sz w:val="30"/>
          <w:szCs w:val="30"/>
        </w:rPr>
      </w:pPr>
      <w:r>
        <w:rPr>
          <w:spacing w:val="-14"/>
          <w:sz w:val="30"/>
          <w:szCs w:val="30"/>
        </w:rPr>
        <w:t>3.以“人才”为支撑打造干事创业热土研究</w:t>
      </w:r>
    </w:p>
    <w:p>
      <w:pPr>
        <w:pStyle w:val="2"/>
        <w:spacing w:before="185" w:line="318" w:lineRule="auto"/>
        <w:ind w:left="1179" w:right="1888"/>
        <w:rPr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4.</w:t>
      </w:r>
      <w:r>
        <w:rPr>
          <w:spacing w:val="3"/>
          <w:sz w:val="30"/>
          <w:szCs w:val="30"/>
        </w:rPr>
        <w:t>构建以党建为引领推进社区治理体系现代化研究</w:t>
      </w:r>
      <w:r>
        <w:rPr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5.</w:t>
      </w:r>
      <w:r>
        <w:rPr>
          <w:spacing w:val="3"/>
          <w:sz w:val="30"/>
          <w:szCs w:val="30"/>
        </w:rPr>
        <w:t>雄安新区市场化城市运营管理有效路径研究</w:t>
      </w:r>
    </w:p>
    <w:p>
      <w:pPr>
        <w:pStyle w:val="2"/>
        <w:spacing w:before="58" w:line="222" w:lineRule="auto"/>
        <w:ind w:left="1179"/>
        <w:rPr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6.</w:t>
      </w:r>
      <w:r>
        <w:rPr>
          <w:spacing w:val="2"/>
          <w:sz w:val="30"/>
          <w:szCs w:val="30"/>
        </w:rPr>
        <w:t>雄安新区城市形象传播路径和策略研究</w:t>
      </w:r>
    </w:p>
    <w:p>
      <w:pPr>
        <w:pStyle w:val="2"/>
        <w:spacing w:before="180" w:line="310" w:lineRule="auto"/>
        <w:ind w:left="1179" w:right="1258"/>
        <w:rPr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7.</w:t>
      </w:r>
      <w:r>
        <w:rPr>
          <w:spacing w:val="4"/>
          <w:sz w:val="30"/>
          <w:szCs w:val="30"/>
        </w:rPr>
        <w:t>雄安新区以新理念为引领打造绿色发展城市典范研究</w:t>
      </w:r>
      <w:r>
        <w:rPr>
          <w:spacing w:val="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8.因地制宜加快推动发展新质生产力研究</w:t>
      </w:r>
    </w:p>
    <w:p>
      <w:pPr>
        <w:pStyle w:val="2"/>
        <w:spacing w:before="50" w:line="222" w:lineRule="auto"/>
        <w:ind w:left="1179"/>
        <w:rPr>
          <w:sz w:val="30"/>
          <w:szCs w:val="30"/>
        </w:rPr>
      </w:pPr>
      <w:r>
        <w:rPr>
          <w:spacing w:val="-6"/>
          <w:sz w:val="30"/>
          <w:szCs w:val="30"/>
        </w:rPr>
        <w:t>9.打破城乡二元结构，加快城乡融合发展的体制机制研究</w:t>
      </w:r>
    </w:p>
    <w:p>
      <w:pPr>
        <w:pStyle w:val="2"/>
        <w:spacing w:before="199" w:line="317" w:lineRule="auto"/>
        <w:ind w:left="1179" w:right="848"/>
        <w:rPr>
          <w:sz w:val="30"/>
          <w:szCs w:val="30"/>
        </w:rPr>
      </w:pPr>
      <w:r>
        <w:rPr>
          <w:spacing w:val="-37"/>
          <w:sz w:val="30"/>
          <w:szCs w:val="30"/>
        </w:rPr>
        <w:t>10.“十五五”时期雄安新区战略性新兴产业高质量发展路径研究</w:t>
      </w:r>
      <w:r>
        <w:rPr>
          <w:spacing w:val="3"/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11,雄安高新区重点产业发展策略与应用场景空间嵌入研究</w:t>
      </w:r>
      <w:r>
        <w:rPr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12.</w:t>
      </w:r>
      <w:r>
        <w:rPr>
          <w:spacing w:val="1"/>
          <w:sz w:val="30"/>
          <w:szCs w:val="30"/>
        </w:rPr>
        <w:t>雄安新区农业高质量发展对策研究</w:t>
      </w:r>
    </w:p>
    <w:p>
      <w:pPr>
        <w:pStyle w:val="2"/>
        <w:spacing w:before="74" w:line="221" w:lineRule="auto"/>
        <w:ind w:left="1179"/>
        <w:rPr>
          <w:sz w:val="30"/>
          <w:szCs w:val="30"/>
        </w:rPr>
      </w:pPr>
      <w:r>
        <w:rPr>
          <w:spacing w:val="2"/>
          <w:sz w:val="30"/>
          <w:szCs w:val="30"/>
        </w:rPr>
        <w:t>13.雄安新区推动低空经济发展实施路径研究</w:t>
      </w:r>
    </w:p>
    <w:p>
      <w:pPr>
        <w:pStyle w:val="2"/>
        <w:spacing w:before="185" w:line="319" w:lineRule="auto"/>
        <w:ind w:left="1179" w:right="818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14.以高水平金融服务支撑高标准高质量建设雄安新区研究</w:t>
      </w:r>
      <w:r>
        <w:rPr>
          <w:spacing w:val="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15.集聚法治要素打造未成年人综合保护“雄安样板”研究</w:t>
      </w:r>
      <w:r>
        <w:rPr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16.</w:t>
      </w:r>
      <w:r>
        <w:rPr>
          <w:spacing w:val="1"/>
          <w:sz w:val="30"/>
          <w:szCs w:val="30"/>
        </w:rPr>
        <w:t>雄安新区建筑风貌内涵和外延研究</w:t>
      </w:r>
    </w:p>
    <w:p>
      <w:pPr>
        <w:pStyle w:val="2"/>
        <w:spacing w:before="52" w:line="318" w:lineRule="auto"/>
        <w:ind w:left="1179" w:right="1779"/>
        <w:rPr>
          <w:sz w:val="30"/>
          <w:szCs w:val="30"/>
        </w:rPr>
      </w:pPr>
      <w:r>
        <w:rPr>
          <w:spacing w:val="-11"/>
          <w:sz w:val="30"/>
          <w:szCs w:val="30"/>
        </w:rPr>
        <w:t>17.以项目全周期管理推进“雄安质量”体系建设研究</w:t>
      </w:r>
      <w:r>
        <w:rPr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18.</w:t>
      </w:r>
      <w:r>
        <w:rPr>
          <w:spacing w:val="2"/>
          <w:sz w:val="30"/>
          <w:szCs w:val="30"/>
        </w:rPr>
        <w:t>雄安新区现代化公共服务体系建设研究</w:t>
      </w:r>
    </w:p>
    <w:p>
      <w:pPr>
        <w:pStyle w:val="2"/>
        <w:spacing w:before="38" w:line="222" w:lineRule="auto"/>
        <w:ind w:left="1179"/>
        <w:rPr>
          <w:sz w:val="30"/>
          <w:szCs w:val="30"/>
        </w:rPr>
      </w:pPr>
      <w:r>
        <w:rPr>
          <w:spacing w:val="-19"/>
          <w:sz w:val="30"/>
          <w:szCs w:val="30"/>
        </w:rPr>
        <w:t>19.新时代“雄安精神”内涵研究</w:t>
      </w:r>
    </w:p>
    <w:p>
      <w:pPr>
        <w:pStyle w:val="2"/>
        <w:spacing w:before="179" w:line="222" w:lineRule="auto"/>
        <w:ind w:left="1179"/>
        <w:rPr>
          <w:rFonts w:hint="eastAsia" w:eastAsia="仿宋"/>
          <w:sz w:val="30"/>
          <w:szCs w:val="30"/>
          <w:lang w:val="en-US" w:eastAsia="zh-CN"/>
        </w:rPr>
        <w:sectPr>
          <w:footerReference r:id="rId5" w:type="default"/>
          <w:pgSz w:w="12060" w:h="17040"/>
          <w:pgMar w:top="175" w:right="1809" w:bottom="1210" w:left="510" w:header="0" w:footer="813" w:gutter="0"/>
          <w:cols w:space="720" w:num="1"/>
        </w:sectPr>
      </w:pPr>
      <w:r>
        <w:rPr>
          <w:spacing w:val="3"/>
          <w:sz w:val="30"/>
          <w:szCs w:val="30"/>
        </w:rPr>
        <w:t>20.雄安新区廉洁文化体系建设</w:t>
      </w:r>
      <w:r>
        <w:rPr>
          <w:rFonts w:hint="eastAsia"/>
          <w:spacing w:val="3"/>
          <w:sz w:val="30"/>
          <w:szCs w:val="30"/>
          <w:lang w:val="en-US" w:eastAsia="zh-CN"/>
        </w:rPr>
        <w:t>研究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940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5"/>
        <w:sz w:val="40"/>
        <w:szCs w:val="4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QxNDEwYzlkMDJkOTNjZmU5NzY5MzUwYWU2MGEifQ=="/>
  </w:docVars>
  <w:rsids>
    <w:rsidRoot w:val="00000000"/>
    <w:rsid w:val="1A9556F0"/>
    <w:rsid w:val="1D6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1"/>
      <w:szCs w:val="4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2024-08-10T02:52:33Z</dcterms:created>
  <dc:creator>lenovo</dc:creator>
  <cp:lastModifiedBy>贾</cp:lastModifiedBy>
  <dcterms:modified xsi:type="dcterms:W3CDTF">2024-08-10T02:53:09Z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DFCC0CA3EEC34857A9317AC757BB52F0_12</vt:lpwstr>
  </property>
</Properties>
</file>